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rPr>
          <w:rFonts w:hint="eastAsia" w:ascii="黑体" w:hAnsi="黑体" w:eastAsia="黑体" w:cs="黑体"/>
          <w:bCs/>
          <w:color w:val="auto"/>
          <w:sz w:val="32"/>
          <w:szCs w:val="32"/>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rPr>
        <w:t>1</w:t>
      </w:r>
    </w:p>
    <w:p>
      <w:pPr>
        <w:pStyle w:val="4"/>
        <w:shd w:val="clear" w:color="auto" w:fill="FFFFFF"/>
        <w:spacing w:before="0" w:beforeAutospacing="0" w:after="0" w:afterAutospacing="0" w:line="560" w:lineRule="exact"/>
        <w:jc w:val="center"/>
        <w:rPr>
          <w:rFonts w:hint="eastAsia" w:ascii="仿宋" w:hAnsi="仿宋" w:eastAsia="仿宋"/>
          <w:b/>
          <w:color w:val="auto"/>
          <w:sz w:val="44"/>
          <w:szCs w:val="44"/>
        </w:rPr>
      </w:pPr>
    </w:p>
    <w:p>
      <w:pPr>
        <w:pStyle w:val="4"/>
        <w:shd w:val="clear" w:color="auto" w:fill="FFFFFF"/>
        <w:spacing w:before="0" w:beforeAutospacing="0" w:after="0" w:afterAutospacing="0" w:line="560" w:lineRule="exact"/>
        <w:jc w:val="center"/>
        <w:rPr>
          <w:rStyle w:val="7"/>
          <w:rFonts w:ascii="仿宋" w:hAnsi="仿宋" w:eastAsia="仿宋" w:cs="宋体"/>
          <w:bCs w:val="0"/>
          <w:color w:val="auto"/>
          <w:sz w:val="32"/>
          <w:szCs w:val="32"/>
        </w:rPr>
      </w:pPr>
      <w:r>
        <w:rPr>
          <w:rFonts w:hint="eastAsia" w:ascii="仿宋" w:hAnsi="仿宋" w:eastAsia="仿宋"/>
          <w:b/>
          <w:color w:val="auto"/>
          <w:sz w:val="32"/>
          <w:szCs w:val="32"/>
        </w:rPr>
        <w:t>沈阳市绿色建材推荐目录</w:t>
      </w:r>
      <w:r>
        <w:rPr>
          <w:rFonts w:ascii="仿宋" w:hAnsi="仿宋" w:eastAsia="仿宋"/>
          <w:b/>
          <w:color w:val="auto"/>
          <w:sz w:val="32"/>
          <w:szCs w:val="32"/>
        </w:rPr>
        <w:t xml:space="preserve"> </w:t>
      </w:r>
      <w:r>
        <w:rPr>
          <w:rFonts w:hint="eastAsia" w:ascii="仿宋" w:hAnsi="仿宋" w:eastAsia="仿宋"/>
          <w:b/>
          <w:color w:val="auto"/>
          <w:sz w:val="32"/>
          <w:szCs w:val="32"/>
        </w:rPr>
        <w:t>入围条件</w:t>
      </w:r>
    </w:p>
    <w:p>
      <w:pPr>
        <w:rPr>
          <w:color w:val="auto"/>
        </w:rPr>
      </w:pPr>
    </w:p>
    <w:p>
      <w:pPr>
        <w:numPr>
          <w:ilvl w:val="0"/>
          <w:numId w:val="0"/>
        </w:numPr>
        <w:tabs>
          <w:tab w:val="left" w:pos="0"/>
        </w:tabs>
        <w:spacing w:before="312" w:beforeLines="100" w:after="312" w:afterLines="100"/>
        <w:jc w:val="both"/>
        <w:outlineLvl w:val="1"/>
        <w:rPr>
          <w:rFonts w:ascii="宋体" w:hAnsi="宋体" w:eastAsia="宋体" w:cs="Times New Roman"/>
          <w:b/>
          <w:color w:val="auto"/>
          <w:sz w:val="21"/>
          <w:lang w:val="en-US" w:eastAsia="zh-CN" w:bidi="ar-SA"/>
        </w:rPr>
      </w:pPr>
      <w:r>
        <w:rPr>
          <w:rFonts w:hint="eastAsia" w:ascii="黑体" w:hAnsi="Times New Roman" w:eastAsia="黑体" w:cs="Times New Roman"/>
          <w:color w:val="auto"/>
          <w:sz w:val="21"/>
          <w:lang w:val="en-US" w:eastAsia="zh-CN" w:bidi="ar-SA"/>
        </w:rPr>
        <w:t xml:space="preserve"> </w:t>
      </w:r>
      <w:r>
        <w:rPr>
          <w:rFonts w:hint="eastAsia" w:ascii="宋体" w:hAnsi="宋体" w:eastAsia="宋体" w:cs="Times New Roman"/>
          <w:b/>
          <w:color w:val="auto"/>
          <w:sz w:val="21"/>
          <w:lang w:val="en-US" w:eastAsia="zh-CN" w:bidi="ar-SA"/>
        </w:rPr>
        <w:t>一、基本要求</w:t>
      </w:r>
    </w:p>
    <w:p>
      <w:pPr>
        <w:numPr>
          <w:ilvl w:val="0"/>
          <w:numId w:val="0"/>
        </w:numPr>
        <w:adjustRightInd w:val="0"/>
        <w:snapToGrid w:val="0"/>
        <w:spacing w:before="156" w:beforeLines="50" w:after="156" w:afterLines="50"/>
        <w:outlineLvl w:val="3"/>
        <w:rPr>
          <w:rFonts w:ascii="Times New Roman" w:hAnsi="Times New Roman" w:eastAsia="宋体" w:cs="Times New Roman"/>
          <w:color w:val="auto"/>
          <w:sz w:val="21"/>
          <w:szCs w:val="21"/>
          <w:lang w:val="en-US" w:eastAsia="zh-CN" w:bidi="ar-SA"/>
        </w:rPr>
      </w:pPr>
      <w:bookmarkStart w:id="0" w:name="_Toc436234466"/>
      <w:bookmarkStart w:id="1" w:name="_Toc462063258"/>
      <w:bookmarkStart w:id="2" w:name="_Toc459106415"/>
      <w:r>
        <w:rPr>
          <w:rFonts w:hint="eastAsia" w:ascii="黑体" w:hAnsi="Times New Roman" w:eastAsia="黑体" w:cs="Times New Roman"/>
          <w:color w:val="auto"/>
          <w:sz w:val="21"/>
          <w:szCs w:val="21"/>
          <w:lang w:val="en-US" w:eastAsia="zh-CN" w:bidi="ar-SA"/>
        </w:rPr>
        <w:t xml:space="preserve">    </w:t>
      </w:r>
      <w:bookmarkEnd w:id="0"/>
      <w:bookmarkEnd w:id="1"/>
      <w:bookmarkEnd w:id="2"/>
      <w:r>
        <w:rPr>
          <w:rFonts w:hint="eastAsia" w:ascii="Times New Roman" w:hAnsi="Times New Roman" w:eastAsia="宋体" w:cs="Times New Roman"/>
          <w:color w:val="auto"/>
          <w:sz w:val="21"/>
          <w:szCs w:val="21"/>
          <w:lang w:val="en-US" w:eastAsia="zh-CN" w:bidi="ar-SA"/>
        </w:rPr>
        <w:t>（一）</w:t>
      </w:r>
      <w:r>
        <w:rPr>
          <w:rFonts w:hint="eastAsia" w:ascii="宋体" w:hAnsi="Times New Roman" w:eastAsia="宋体" w:cs="Times New Roman"/>
          <w:color w:val="auto"/>
          <w:sz w:val="21"/>
          <w:szCs w:val="21"/>
          <w:lang w:val="en-US" w:eastAsia="zh-CN" w:bidi="ar-SA"/>
        </w:rPr>
        <w:t>生产企业</w:t>
      </w:r>
      <w:r>
        <w:rPr>
          <w:rFonts w:hint="eastAsia" w:ascii="Times New Roman" w:hAnsi="Times New Roman" w:eastAsia="宋体" w:cs="Times New Roman"/>
          <w:color w:val="auto"/>
          <w:sz w:val="21"/>
          <w:szCs w:val="21"/>
          <w:lang w:val="en-US" w:eastAsia="zh-CN" w:bidi="ar-SA"/>
        </w:rPr>
        <w:t>近</w:t>
      </w:r>
      <w:r>
        <w:rPr>
          <w:rFonts w:ascii="Times New Roman" w:hAnsi="Times New Roman" w:eastAsia="宋体" w:cs="Times New Roman"/>
          <w:color w:val="auto"/>
          <w:sz w:val="21"/>
          <w:szCs w:val="21"/>
          <w:lang w:val="en-US" w:eastAsia="zh-CN" w:bidi="ar-SA"/>
        </w:rPr>
        <w:t>3</w:t>
      </w:r>
      <w:r>
        <w:rPr>
          <w:rFonts w:hint="eastAsia" w:ascii="Times New Roman" w:hAnsi="Times New Roman" w:eastAsia="宋体" w:cs="Times New Roman"/>
          <w:color w:val="auto"/>
          <w:sz w:val="21"/>
          <w:szCs w:val="21"/>
          <w:lang w:val="en-US" w:eastAsia="zh-CN" w:bidi="ar-SA"/>
        </w:rPr>
        <w:t>年无重大环境污染事件和重大安全事故。</w:t>
      </w:r>
    </w:p>
    <w:p>
      <w:pPr>
        <w:numPr>
          <w:ilvl w:val="0"/>
          <w:numId w:val="0"/>
        </w:numPr>
        <w:adjustRightInd w:val="0"/>
        <w:snapToGrid w:val="0"/>
        <w:spacing w:before="156" w:beforeLines="50" w:after="156" w:afterLines="50"/>
        <w:outlineLvl w:val="3"/>
        <w:rPr>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 xml:space="preserve">    （二）一般固体废弃物的收集、贮存、处置应符合</w:t>
      </w:r>
      <w:r>
        <w:rPr>
          <w:rFonts w:ascii="Times New Roman" w:hAnsi="Times New Roman" w:eastAsia="宋体" w:cs="Times New Roman"/>
          <w:color w:val="auto"/>
          <w:sz w:val="21"/>
          <w:szCs w:val="21"/>
          <w:lang w:val="en-US" w:eastAsia="zh-CN" w:bidi="ar-SA"/>
        </w:rPr>
        <w:t>GB 18599</w:t>
      </w:r>
      <w:r>
        <w:rPr>
          <w:rFonts w:hint="eastAsia" w:ascii="Times New Roman" w:hAnsi="Times New Roman" w:eastAsia="宋体" w:cs="Times New Roman"/>
          <w:color w:val="auto"/>
          <w:sz w:val="21"/>
          <w:szCs w:val="21"/>
          <w:lang w:val="en-US" w:eastAsia="zh-CN" w:bidi="ar-SA"/>
        </w:rPr>
        <w:t>的相关规定。危险废物的贮存应符合</w:t>
      </w:r>
      <w:r>
        <w:rPr>
          <w:rFonts w:ascii="Times New Roman" w:hAnsi="Times New Roman" w:eastAsia="宋体" w:cs="Times New Roman"/>
          <w:color w:val="auto"/>
          <w:sz w:val="21"/>
          <w:szCs w:val="21"/>
          <w:lang w:val="en-US" w:eastAsia="zh-CN" w:bidi="ar-SA"/>
        </w:rPr>
        <w:t>GB 18597</w:t>
      </w:r>
      <w:r>
        <w:rPr>
          <w:rFonts w:hint="eastAsia" w:ascii="Times New Roman" w:hAnsi="Times New Roman" w:eastAsia="宋体" w:cs="Times New Roman"/>
          <w:color w:val="auto"/>
          <w:sz w:val="21"/>
          <w:szCs w:val="21"/>
          <w:lang w:val="en-US" w:eastAsia="zh-CN" w:bidi="ar-SA"/>
        </w:rPr>
        <w:t>的相关规定，后续应交付持有危险废物经营许可证的单位处置。</w:t>
      </w:r>
    </w:p>
    <w:p>
      <w:pPr>
        <w:numPr>
          <w:ilvl w:val="0"/>
          <w:numId w:val="0"/>
        </w:numPr>
        <w:adjustRightInd w:val="0"/>
        <w:snapToGrid w:val="0"/>
        <w:spacing w:before="156" w:beforeLines="50" w:after="156" w:afterLines="50"/>
        <w:outlineLvl w:val="3"/>
        <w:rPr>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 xml:space="preserve">    （三）生产企业应按照</w:t>
      </w:r>
      <w:r>
        <w:rPr>
          <w:rFonts w:ascii="Times New Roman" w:hAnsi="Times New Roman" w:eastAsia="宋体" w:cs="Times New Roman"/>
          <w:color w:val="auto"/>
          <w:sz w:val="21"/>
          <w:szCs w:val="21"/>
          <w:lang w:val="en-US" w:eastAsia="zh-CN" w:bidi="ar-SA"/>
        </w:rPr>
        <w:t>GB/T 19001</w:t>
      </w:r>
      <w:r>
        <w:rPr>
          <w:rFonts w:hint="eastAsia" w:ascii="Times New Roman" w:hAnsi="Times New Roman" w:eastAsia="宋体" w:cs="Times New Roman"/>
          <w:color w:val="auto"/>
          <w:sz w:val="21"/>
          <w:szCs w:val="21"/>
          <w:lang w:val="en-US" w:eastAsia="zh-CN" w:bidi="ar-SA"/>
        </w:rPr>
        <w:t>、</w:t>
      </w:r>
      <w:r>
        <w:rPr>
          <w:rFonts w:ascii="Times New Roman" w:hAnsi="Times New Roman" w:eastAsia="宋体" w:cs="Times New Roman"/>
          <w:color w:val="auto"/>
          <w:sz w:val="21"/>
          <w:szCs w:val="21"/>
          <w:lang w:val="en-US" w:eastAsia="zh-CN" w:bidi="ar-SA"/>
        </w:rPr>
        <w:t>GB/T 24001</w:t>
      </w:r>
      <w:r>
        <w:rPr>
          <w:rFonts w:hint="eastAsia" w:ascii="Times New Roman" w:hAnsi="Times New Roman" w:eastAsia="宋体" w:cs="Times New Roman"/>
          <w:color w:val="auto"/>
          <w:sz w:val="21"/>
          <w:szCs w:val="21"/>
          <w:lang w:val="en-US" w:eastAsia="zh-CN" w:bidi="ar-SA"/>
        </w:rPr>
        <w:t>和</w:t>
      </w:r>
      <w:r>
        <w:rPr>
          <w:rFonts w:ascii="Times New Roman" w:hAnsi="Times New Roman" w:eastAsia="宋体" w:cs="Times New Roman"/>
          <w:color w:val="auto"/>
          <w:sz w:val="21"/>
          <w:szCs w:val="21"/>
          <w:lang w:val="en-US" w:eastAsia="zh-CN" w:bidi="ar-SA"/>
        </w:rPr>
        <w:t>GB/T 28001</w:t>
      </w:r>
      <w:r>
        <w:rPr>
          <w:rFonts w:hint="eastAsia" w:ascii="Times New Roman" w:hAnsi="Times New Roman" w:eastAsia="宋体" w:cs="Times New Roman"/>
          <w:color w:val="auto"/>
          <w:sz w:val="21"/>
          <w:szCs w:val="21"/>
          <w:lang w:val="en-US" w:eastAsia="zh-CN" w:bidi="ar-SA"/>
        </w:rPr>
        <w:t>分别建立并运行质量管理体系、环境管理体系和职业健康安全管理体系。</w:t>
      </w:r>
    </w:p>
    <w:p>
      <w:pPr>
        <w:numPr>
          <w:ilvl w:val="0"/>
          <w:numId w:val="0"/>
        </w:numPr>
        <w:adjustRightInd w:val="0"/>
        <w:snapToGrid w:val="0"/>
        <w:spacing w:before="156" w:beforeLines="50" w:after="156" w:afterLines="50"/>
        <w:ind w:firstLine="435"/>
        <w:outlineLvl w:val="3"/>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（四）生产企业应采用国家鼓励的先进技术工艺，不应使用国家或有关部门发布的淘汰或禁止的技术、工艺、装备及相关物质。</w:t>
      </w:r>
    </w:p>
    <w:p>
      <w:pPr>
        <w:numPr>
          <w:ilvl w:val="0"/>
          <w:numId w:val="0"/>
        </w:numPr>
        <w:adjustRightInd w:val="0"/>
        <w:snapToGrid w:val="0"/>
        <w:spacing w:before="156" w:beforeLines="50" w:after="156" w:afterLines="50"/>
        <w:outlineLvl w:val="3"/>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 xml:space="preserve">    （五）产品性能应符合相关的国家标准、行业标准、地方标准要求。</w:t>
      </w:r>
    </w:p>
    <w:p>
      <w:pPr>
        <w:numPr>
          <w:ilvl w:val="0"/>
          <w:numId w:val="0"/>
        </w:numPr>
        <w:adjustRightInd w:val="0"/>
        <w:snapToGrid w:val="0"/>
        <w:spacing w:before="156" w:beforeLines="50" w:after="156" w:afterLines="50"/>
        <w:outlineLvl w:val="3"/>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 xml:space="preserve">    （六）申报的产品应是经过定型投产，具有一定生产规模，并在一定范围内完成中试或工程示范，技术先进、质量稳定、成熟可靠，完全满足工程建设需要。</w:t>
      </w:r>
    </w:p>
    <w:p>
      <w:pPr>
        <w:numPr>
          <w:ilvl w:val="0"/>
          <w:numId w:val="0"/>
        </w:numPr>
        <w:adjustRightInd w:val="0"/>
        <w:snapToGrid w:val="0"/>
        <w:spacing w:before="156" w:beforeLines="50" w:after="156" w:afterLines="50"/>
        <w:ind w:firstLine="420"/>
        <w:outlineLvl w:val="3"/>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（七）申报单位应具备独立法人资格，具有与申报项目相符的生产能力和知识产权。</w:t>
      </w:r>
    </w:p>
    <w:p>
      <w:pPr>
        <w:numPr>
          <w:ilvl w:val="0"/>
          <w:numId w:val="0"/>
        </w:numPr>
        <w:adjustRightInd w:val="0"/>
        <w:snapToGrid w:val="0"/>
        <w:spacing w:before="156" w:beforeLines="50" w:after="156" w:afterLines="50"/>
        <w:ind w:firstLine="420"/>
        <w:outlineLvl w:val="3"/>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（八）申报单位提供两年内有效期有资质单位的检测报告。</w:t>
      </w:r>
    </w:p>
    <w:p>
      <w:pPr>
        <w:numPr>
          <w:ilvl w:val="0"/>
          <w:numId w:val="0"/>
        </w:numPr>
        <w:tabs>
          <w:tab w:val="left" w:pos="0"/>
        </w:tabs>
        <w:spacing w:before="312" w:beforeLines="100" w:after="312" w:afterLines="100"/>
        <w:jc w:val="both"/>
        <w:outlineLvl w:val="1"/>
        <w:rPr>
          <w:rFonts w:hint="eastAsia" w:ascii="宋体" w:hAnsi="宋体" w:eastAsia="宋体" w:cs="Times New Roman"/>
          <w:b/>
          <w:color w:val="auto"/>
          <w:sz w:val="21"/>
          <w:lang w:val="en-US" w:eastAsia="zh-CN" w:bidi="ar-SA"/>
        </w:rPr>
      </w:pPr>
      <w:r>
        <w:rPr>
          <w:rFonts w:hint="eastAsia" w:ascii="宋体" w:hAnsi="宋体" w:eastAsia="宋体" w:cs="Times New Roman"/>
          <w:b/>
          <w:color w:val="auto"/>
          <w:sz w:val="21"/>
          <w:lang w:val="en-US" w:eastAsia="zh-CN" w:bidi="ar-SA"/>
        </w:rPr>
        <w:t>二、具体要求</w:t>
      </w:r>
    </w:p>
    <w:p>
      <w:pPr>
        <w:numPr>
          <w:ilvl w:val="0"/>
          <w:numId w:val="0"/>
        </w:numPr>
        <w:tabs>
          <w:tab w:val="left" w:pos="0"/>
        </w:tabs>
        <w:spacing w:before="312" w:beforeLines="100" w:after="312" w:afterLines="100"/>
        <w:jc w:val="both"/>
        <w:outlineLvl w:val="1"/>
        <w:rPr>
          <w:rFonts w:hint="eastAsia" w:ascii="宋体" w:hAnsi="宋体" w:eastAsia="宋体" w:cs="Times New Roman"/>
          <w:b/>
          <w:color w:val="auto"/>
          <w:sz w:val="21"/>
          <w:lang w:val="en-US" w:eastAsia="zh-CN" w:bidi="ar-SA"/>
        </w:rPr>
      </w:pPr>
      <w:r>
        <w:rPr>
          <w:rFonts w:hint="eastAsia" w:ascii="宋体" w:hAnsi="宋体" w:eastAsia="宋体" w:cs="Times New Roman"/>
          <w:b/>
          <w:color w:val="auto"/>
          <w:sz w:val="21"/>
          <w:lang w:val="en-US" w:eastAsia="zh-CN" w:bidi="ar-SA"/>
        </w:rPr>
        <w:t>（一）保温材料</w:t>
      </w:r>
    </w:p>
    <w:p>
      <w:pPr>
        <w:pStyle w:val="10"/>
        <w:spacing w:before="156" w:after="156"/>
        <w:rPr>
          <w:rFonts w:hint="eastAsia" w:ascii="Times New Roman"/>
          <w:color w:val="auto"/>
        </w:rPr>
      </w:pPr>
      <w:r>
        <w:rPr>
          <w:rFonts w:hint="eastAsia" w:ascii="Times New Roman"/>
          <w:color w:val="auto"/>
        </w:rPr>
        <w:t>保温系统材料</w:t>
      </w:r>
      <w:r>
        <w:rPr>
          <w:rFonts w:hint="eastAsia"/>
          <w:color w:val="auto"/>
        </w:rPr>
        <w:t>受理范围：1、岩棉制品；2、玻璃棉制品；3、石墨聚苯板（EPS）复合制品；4、石墨挤塑聚苯板（XPS）复合制品；5、发泡陶瓷制品；6、其它类复合保温系统材料。</w:t>
      </w:r>
      <w:r>
        <w:rPr>
          <w:rFonts w:hint="eastAsia" w:ascii="Times New Roman"/>
          <w:color w:val="auto"/>
        </w:rPr>
        <w:t>保温系统材料</w:t>
      </w:r>
      <w:r>
        <w:rPr>
          <w:rFonts w:hint="eastAsia"/>
          <w:color w:val="auto"/>
        </w:rPr>
        <w:t>基本性能应符合相关标准</w:t>
      </w:r>
      <w:r>
        <w:rPr>
          <w:rFonts w:ascii="Times New Roman"/>
          <w:color w:val="auto"/>
        </w:rPr>
        <w:t>GB/T</w:t>
      </w:r>
      <w:r>
        <w:rPr>
          <w:rFonts w:hint="eastAsia" w:ascii="Times New Roman"/>
          <w:color w:val="auto"/>
        </w:rPr>
        <w:t>10801、</w:t>
      </w:r>
      <w:r>
        <w:rPr>
          <w:rFonts w:ascii="Times New Roman"/>
          <w:color w:val="auto"/>
        </w:rPr>
        <w:t>GB/T</w:t>
      </w:r>
      <w:r>
        <w:rPr>
          <w:rFonts w:hint="eastAsia" w:ascii="Times New Roman"/>
          <w:color w:val="auto"/>
        </w:rPr>
        <w:t>13350、</w:t>
      </w:r>
      <w:r>
        <w:rPr>
          <w:rFonts w:ascii="Times New Roman"/>
          <w:color w:val="auto"/>
        </w:rPr>
        <w:t>GB/T</w:t>
      </w:r>
      <w:r>
        <w:rPr>
          <w:rFonts w:hint="eastAsia" w:ascii="Times New Roman"/>
          <w:color w:val="auto"/>
        </w:rPr>
        <w:t>19686、</w:t>
      </w:r>
      <w:r>
        <w:rPr>
          <w:rFonts w:ascii="Times New Roman"/>
          <w:color w:val="auto"/>
        </w:rPr>
        <w:t>GB/T</w:t>
      </w:r>
      <w:r>
        <w:rPr>
          <w:rFonts w:hint="eastAsia" w:ascii="Times New Roman"/>
          <w:color w:val="auto"/>
        </w:rPr>
        <w:t>25975、JG/T511、JG/T 287、JGJ144等要求。</w:t>
      </w:r>
    </w:p>
    <w:p>
      <w:pPr>
        <w:pStyle w:val="9"/>
        <w:numPr>
          <w:ilvl w:val="0"/>
          <w:numId w:val="0"/>
        </w:numPr>
        <w:spacing w:before="156" w:beforeLines="50" w:after="156" w:afterLines="50"/>
        <w:jc w:val="center"/>
        <w:outlineLvl w:val="9"/>
        <w:rPr>
          <w:rFonts w:hint="eastAsia" w:ascii="宋体" w:hAnsi="宋体" w:eastAsia="宋体"/>
          <w:color w:val="auto"/>
        </w:rPr>
      </w:pPr>
      <w:r>
        <w:rPr>
          <w:rFonts w:hint="eastAsia" w:ascii="宋体" w:hAnsi="宋体" w:eastAsia="宋体"/>
          <w:color w:val="auto"/>
        </w:rPr>
        <w:t>表</w:t>
      </w:r>
      <w:r>
        <w:rPr>
          <w:rFonts w:hint="eastAsia" w:ascii="宋体" w:hAnsi="宋体" w:eastAsia="宋体"/>
          <w:color w:val="auto"/>
          <w:lang w:val="en-US" w:eastAsia="zh-CN"/>
        </w:rPr>
        <w:t>1</w:t>
      </w:r>
      <w:r>
        <w:rPr>
          <w:rFonts w:hint="eastAsia" w:ascii="宋体" w:hAnsi="宋体" w:eastAsia="宋体"/>
          <w:color w:val="auto"/>
        </w:rPr>
        <w:t xml:space="preserve">  岩棉制品保温系统材料指标要求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197"/>
        <w:gridCol w:w="1130"/>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16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7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6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甲醛释放量</w:t>
            </w:r>
          </w:p>
        </w:tc>
        <w:tc>
          <w:tcPr>
            <w:tcW w:w="7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mg/（kg.h）</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16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酸度系数</w:t>
            </w:r>
          </w:p>
        </w:tc>
        <w:tc>
          <w:tcPr>
            <w:tcW w:w="7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6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憎水性</w:t>
            </w:r>
          </w:p>
        </w:tc>
        <w:tc>
          <w:tcPr>
            <w:tcW w:w="7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87"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密度</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岩棉板</w:t>
            </w:r>
          </w:p>
        </w:tc>
        <w:tc>
          <w:tcPr>
            <w:tcW w:w="708"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kg/m3</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87"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3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岩棉带</w:t>
            </w:r>
          </w:p>
        </w:tc>
        <w:tc>
          <w:tcPr>
            <w:tcW w:w="708"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12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7"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导热系数</w:t>
            </w:r>
          </w:p>
        </w:tc>
        <w:tc>
          <w:tcPr>
            <w:tcW w:w="13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岩棉板</w:t>
            </w:r>
          </w:p>
        </w:tc>
        <w:tc>
          <w:tcPr>
            <w:tcW w:w="708"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W/(m.K)</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87"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3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岩棉带</w:t>
            </w:r>
          </w:p>
        </w:tc>
        <w:tc>
          <w:tcPr>
            <w:tcW w:w="708"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87" w:type="pct"/>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垂直于表面的抗拉强度</w:t>
            </w:r>
          </w:p>
        </w:tc>
        <w:tc>
          <w:tcPr>
            <w:tcW w:w="13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TR80(岩棉带)</w:t>
            </w:r>
          </w:p>
        </w:tc>
        <w:tc>
          <w:tcPr>
            <w:tcW w:w="708" w:type="pct"/>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kPa</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87"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3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TR15（岩棉板）</w:t>
            </w:r>
          </w:p>
        </w:tc>
        <w:tc>
          <w:tcPr>
            <w:tcW w:w="708"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12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87"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3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TR10（岩棉板）</w:t>
            </w:r>
          </w:p>
        </w:tc>
        <w:tc>
          <w:tcPr>
            <w:tcW w:w="708"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12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87" w:type="pct"/>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压缩强度</w:t>
            </w:r>
          </w:p>
        </w:tc>
        <w:tc>
          <w:tcPr>
            <w:tcW w:w="13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岩棉外墙板</w:t>
            </w:r>
          </w:p>
        </w:tc>
        <w:tc>
          <w:tcPr>
            <w:tcW w:w="708"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kPa</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87"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3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岩棉屋面板</w:t>
            </w:r>
          </w:p>
        </w:tc>
        <w:tc>
          <w:tcPr>
            <w:tcW w:w="708"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12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87"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3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岩棉带</w:t>
            </w:r>
          </w:p>
        </w:tc>
        <w:tc>
          <w:tcPr>
            <w:tcW w:w="708"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129" w:type="pct"/>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163" w:type="pct"/>
            <w:gridSpan w:val="2"/>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燃烧性能等级</w:t>
            </w:r>
          </w:p>
        </w:tc>
        <w:tc>
          <w:tcPr>
            <w:tcW w:w="7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12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A级</w:t>
            </w:r>
          </w:p>
        </w:tc>
      </w:tr>
    </w:tbl>
    <w:p>
      <w:pPr>
        <w:pStyle w:val="10"/>
        <w:jc w:val="center"/>
        <w:rPr>
          <w:rFonts w:hint="eastAsia" w:ascii="Times New Roman"/>
          <w:color w:val="auto"/>
        </w:rPr>
      </w:pPr>
    </w:p>
    <w:p>
      <w:pPr>
        <w:pStyle w:val="10"/>
        <w:jc w:val="center"/>
        <w:rPr>
          <w:rFonts w:hint="eastAsia"/>
          <w:color w:val="auto"/>
        </w:rPr>
      </w:pPr>
      <w:r>
        <w:rPr>
          <w:rFonts w:hint="eastAsia" w:ascii="Times New Roman"/>
          <w:color w:val="auto"/>
        </w:rPr>
        <w:t>表</w:t>
      </w:r>
      <w:r>
        <w:rPr>
          <w:rFonts w:hint="eastAsia" w:ascii="Times New Roman"/>
          <w:color w:val="auto"/>
          <w:lang w:val="en-US" w:eastAsia="zh-CN"/>
        </w:rPr>
        <w:t>2</w:t>
      </w:r>
      <w:r>
        <w:rPr>
          <w:rFonts w:hint="eastAsia" w:ascii="Times New Roman"/>
          <w:color w:val="auto"/>
        </w:rPr>
        <w:t xml:space="preserve">  </w:t>
      </w:r>
      <w:r>
        <w:rPr>
          <w:rFonts w:hint="eastAsia"/>
          <w:color w:val="auto"/>
        </w:rPr>
        <w:t>玻璃棉制品</w:t>
      </w:r>
      <w:r>
        <w:rPr>
          <w:rFonts w:hint="eastAsia" w:ascii="Times New Roman"/>
          <w:color w:val="auto"/>
        </w:rPr>
        <w:t>保温系统材料指标要求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663"/>
        <w:gridCol w:w="1762"/>
        <w:gridCol w:w="100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161"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61"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甲醛释放量</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mg/L</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161"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TVOC</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mg/（m2.h）</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42"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导热系数（平均温度25℃）</w:t>
            </w:r>
          </w:p>
        </w:tc>
        <w:tc>
          <w:tcPr>
            <w:tcW w:w="41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毡</w:t>
            </w:r>
          </w:p>
        </w:tc>
        <w:tc>
          <w:tcPr>
            <w:tcW w:w="110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密度48kg/m3</w:t>
            </w:r>
          </w:p>
        </w:tc>
        <w:tc>
          <w:tcPr>
            <w:tcW w:w="63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W/(m.K)</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42"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415"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10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密度24kg/m3</w:t>
            </w:r>
          </w:p>
        </w:tc>
        <w:tc>
          <w:tcPr>
            <w:tcW w:w="630"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8"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42"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415"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10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密度16kg/m3</w:t>
            </w:r>
          </w:p>
        </w:tc>
        <w:tc>
          <w:tcPr>
            <w:tcW w:w="630"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8"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42"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518"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板(密度48kg/m3)</w:t>
            </w:r>
          </w:p>
        </w:tc>
        <w:tc>
          <w:tcPr>
            <w:tcW w:w="630"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2"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518"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条(密度48kg/m3)</w:t>
            </w:r>
          </w:p>
        </w:tc>
        <w:tc>
          <w:tcPr>
            <w:tcW w:w="63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0.046</w:t>
            </w:r>
          </w:p>
        </w:tc>
      </w:tr>
    </w:tbl>
    <w:p>
      <w:pPr>
        <w:pStyle w:val="10"/>
        <w:rPr>
          <w:color w:val="auto"/>
        </w:rPr>
      </w:pPr>
    </w:p>
    <w:p>
      <w:pPr>
        <w:pStyle w:val="10"/>
        <w:jc w:val="center"/>
        <w:rPr>
          <w:rFonts w:hint="eastAsia" w:ascii="Times New Roman"/>
          <w:color w:val="auto"/>
        </w:rPr>
      </w:pPr>
      <w:r>
        <w:rPr>
          <w:rFonts w:hint="eastAsia" w:ascii="Times New Roman"/>
          <w:color w:val="auto"/>
        </w:rPr>
        <w:t>表</w:t>
      </w:r>
      <w:r>
        <w:rPr>
          <w:rFonts w:hint="eastAsia" w:ascii="Times New Roman"/>
          <w:color w:val="auto"/>
          <w:lang w:val="en-US" w:eastAsia="zh-CN"/>
        </w:rPr>
        <w:t>3</w:t>
      </w:r>
      <w:r>
        <w:rPr>
          <w:rFonts w:hint="eastAsia" w:ascii="Times New Roman"/>
          <w:color w:val="auto"/>
        </w:rPr>
        <w:t xml:space="preserve">  </w:t>
      </w:r>
      <w:r>
        <w:rPr>
          <w:rFonts w:hint="eastAsia"/>
          <w:color w:val="auto"/>
        </w:rPr>
        <w:t>石墨模塑聚苯乙烯泡沫</w:t>
      </w:r>
      <w:r>
        <w:rPr>
          <w:rFonts w:hint="eastAsia" w:ascii="Times New Roman"/>
          <w:color w:val="auto"/>
        </w:rPr>
        <w:t>保温系统材料指标要求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1"/>
        <w:gridCol w:w="100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发泡剂含量</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阻燃剂种类</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不得检出六溴环十二烷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1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导热系数（平均温度25℃）</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W/(m.K)</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1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表观密度</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kg/m3</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抗拉强度</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MPa</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燃烧性能等级</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烟毒性</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不低于t0级</w:t>
            </w:r>
          </w:p>
        </w:tc>
      </w:tr>
    </w:tbl>
    <w:p>
      <w:pPr>
        <w:pStyle w:val="10"/>
        <w:jc w:val="center"/>
        <w:rPr>
          <w:rFonts w:hint="eastAsia" w:ascii="Times New Roman"/>
          <w:color w:val="auto"/>
        </w:rPr>
      </w:pPr>
    </w:p>
    <w:p>
      <w:pPr>
        <w:pStyle w:val="10"/>
        <w:jc w:val="center"/>
        <w:rPr>
          <w:rFonts w:hint="eastAsia" w:ascii="Times New Roman"/>
          <w:color w:val="auto"/>
        </w:rPr>
      </w:pPr>
      <w:r>
        <w:rPr>
          <w:rFonts w:hint="eastAsia" w:ascii="Times New Roman"/>
          <w:color w:val="auto"/>
        </w:rPr>
        <w:t>表</w:t>
      </w:r>
      <w:r>
        <w:rPr>
          <w:rFonts w:hint="eastAsia" w:ascii="Times New Roman"/>
          <w:color w:val="auto"/>
          <w:lang w:val="en-US" w:eastAsia="zh-CN"/>
        </w:rPr>
        <w:t xml:space="preserve">4 </w:t>
      </w:r>
      <w:r>
        <w:rPr>
          <w:rFonts w:hint="eastAsia"/>
          <w:color w:val="auto"/>
        </w:rPr>
        <w:t>石墨挤塑聚苯乙烯泡沫</w:t>
      </w:r>
      <w:r>
        <w:rPr>
          <w:rFonts w:hint="eastAsia" w:ascii="Times New Roman"/>
          <w:color w:val="auto"/>
        </w:rPr>
        <w:t>保温系统材料指标要求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964"/>
        <w:gridCol w:w="1006"/>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16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206"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6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发泡剂种类</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6"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不得使用氟氯烃发泡剂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6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阻燃剂种类</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6"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不得检出六溴环十二烷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56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吸水率，浸水96h</w:t>
            </w:r>
          </w:p>
        </w:tc>
        <w:tc>
          <w:tcPr>
            <w:tcW w:w="6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带表皮</w:t>
            </w:r>
          </w:p>
        </w:tc>
        <w:tc>
          <w:tcPr>
            <w:tcW w:w="63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kPa</w:t>
            </w:r>
          </w:p>
        </w:tc>
        <w:tc>
          <w:tcPr>
            <w:tcW w:w="2206"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56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不带表皮</w:t>
            </w:r>
          </w:p>
        </w:tc>
        <w:tc>
          <w:tcPr>
            <w:tcW w:w="63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6"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56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导热系数（平均温度25℃）</w:t>
            </w:r>
          </w:p>
        </w:tc>
        <w:tc>
          <w:tcPr>
            <w:tcW w:w="6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带表皮</w:t>
            </w:r>
          </w:p>
        </w:tc>
        <w:tc>
          <w:tcPr>
            <w:tcW w:w="63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W/(m.K)</w:t>
            </w:r>
          </w:p>
        </w:tc>
        <w:tc>
          <w:tcPr>
            <w:tcW w:w="2206"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6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不带表皮</w:t>
            </w:r>
          </w:p>
        </w:tc>
        <w:tc>
          <w:tcPr>
            <w:tcW w:w="63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6"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表观密度</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kg/m3</w:t>
            </w:r>
          </w:p>
        </w:tc>
        <w:tc>
          <w:tcPr>
            <w:tcW w:w="22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16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抗拉强度</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MPa</w:t>
            </w:r>
          </w:p>
        </w:tc>
        <w:tc>
          <w:tcPr>
            <w:tcW w:w="22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16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燃烧性能等级</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6"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B1级</w:t>
            </w:r>
          </w:p>
        </w:tc>
      </w:tr>
    </w:tbl>
    <w:p>
      <w:pPr>
        <w:pStyle w:val="10"/>
        <w:jc w:val="center"/>
        <w:rPr>
          <w:rFonts w:hint="eastAsia" w:ascii="Times New Roman"/>
          <w:color w:val="auto"/>
        </w:rPr>
      </w:pPr>
    </w:p>
    <w:p>
      <w:pPr>
        <w:pStyle w:val="10"/>
        <w:jc w:val="center"/>
        <w:rPr>
          <w:rFonts w:hint="eastAsia" w:ascii="Times New Roman"/>
          <w:color w:val="auto"/>
        </w:rPr>
      </w:pPr>
      <w:r>
        <w:rPr>
          <w:rFonts w:hint="eastAsia" w:ascii="Times New Roman"/>
          <w:color w:val="auto"/>
        </w:rPr>
        <w:t>表</w:t>
      </w:r>
      <w:r>
        <w:rPr>
          <w:rFonts w:hint="eastAsia" w:ascii="Times New Roman"/>
          <w:color w:val="auto"/>
          <w:lang w:val="en-US" w:eastAsia="zh-CN"/>
        </w:rPr>
        <w:t>5</w:t>
      </w:r>
      <w:r>
        <w:rPr>
          <w:rFonts w:hint="eastAsia" w:ascii="Times New Roman"/>
          <w:color w:val="auto"/>
        </w:rPr>
        <w:t xml:space="preserve">  </w:t>
      </w:r>
      <w:r>
        <w:rPr>
          <w:rFonts w:hint="eastAsia"/>
          <w:color w:val="auto"/>
        </w:rPr>
        <w:t>发泡陶瓷制品</w:t>
      </w:r>
      <w:r>
        <w:rPr>
          <w:rFonts w:hint="eastAsia" w:ascii="Times New Roman"/>
          <w:color w:val="auto"/>
        </w:rPr>
        <w:t>保温系统材料指标要求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6"/>
        <w:gridCol w:w="1793"/>
        <w:gridCol w:w="100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162"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63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39" w:type="pct"/>
            <w:gridSpan w:val="2"/>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导热系数</w:t>
            </w:r>
          </w:p>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（平均温度25℃）</w:t>
            </w:r>
          </w:p>
        </w:tc>
        <w:tc>
          <w:tcPr>
            <w:tcW w:w="11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无釉面</w:t>
            </w:r>
          </w:p>
        </w:tc>
        <w:tc>
          <w:tcPr>
            <w:tcW w:w="63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W/(m.K)</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39" w:type="pct"/>
            <w:gridSpan w:val="2"/>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1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有釉面</w:t>
            </w:r>
          </w:p>
        </w:tc>
        <w:tc>
          <w:tcPr>
            <w:tcW w:w="63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8"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3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密度</w:t>
            </w:r>
          </w:p>
        </w:tc>
        <w:tc>
          <w:tcPr>
            <w:tcW w:w="112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无釉面</w:t>
            </w:r>
          </w:p>
        </w:tc>
        <w:tc>
          <w:tcPr>
            <w:tcW w:w="63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kg/m3</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35"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12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有釉面</w:t>
            </w:r>
          </w:p>
        </w:tc>
        <w:tc>
          <w:tcPr>
            <w:tcW w:w="63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8"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162" w:type="pct"/>
            <w:gridSpan w:val="3"/>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耐污染性（有釉面）</w:t>
            </w:r>
          </w:p>
        </w:tc>
        <w:tc>
          <w:tcPr>
            <w:tcW w:w="630" w:type="pct"/>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39" w:type="pct"/>
            <w:gridSpan w:val="2"/>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放射性核素限量</w:t>
            </w:r>
          </w:p>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（有釉面）</w:t>
            </w:r>
          </w:p>
        </w:tc>
        <w:tc>
          <w:tcPr>
            <w:tcW w:w="11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内照射指数</w:t>
            </w:r>
          </w:p>
        </w:tc>
        <w:tc>
          <w:tcPr>
            <w:tcW w:w="63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39" w:type="pct"/>
            <w:gridSpan w:val="2"/>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1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外照射指数</w:t>
            </w:r>
          </w:p>
        </w:tc>
        <w:tc>
          <w:tcPr>
            <w:tcW w:w="63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2208"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0.6</w:t>
            </w:r>
          </w:p>
        </w:tc>
      </w:tr>
    </w:tbl>
    <w:p>
      <w:pPr>
        <w:pStyle w:val="12"/>
        <w:numPr>
          <w:ilvl w:val="0"/>
          <w:numId w:val="0"/>
        </w:numPr>
        <w:spacing w:before="156" w:after="156"/>
        <w:ind w:firstLine="420" w:firstLineChars="200"/>
        <w:rPr>
          <w:rFonts w:hint="eastAsia" w:ascii="宋体" w:hAnsi="宋体" w:eastAsia="宋体" w:cs="宋体"/>
          <w:color w:val="auto"/>
        </w:rPr>
      </w:pPr>
      <w:r>
        <w:rPr>
          <w:rFonts w:hint="eastAsia" w:ascii="宋体" w:hAnsi="宋体" w:eastAsia="宋体" w:cs="宋体"/>
          <w:color w:val="auto"/>
        </w:rPr>
        <w:t>注：申报单位提供上述要求的相关证明文件。</w:t>
      </w:r>
    </w:p>
    <w:p>
      <w:pPr>
        <w:pStyle w:val="12"/>
        <w:numPr>
          <w:ilvl w:val="0"/>
          <w:numId w:val="0"/>
        </w:numPr>
        <w:spacing w:before="156" w:after="156"/>
        <w:rPr>
          <w:rFonts w:hint="eastAsia" w:ascii="宋体" w:hAnsi="宋体" w:eastAsia="宋体"/>
          <w:b/>
          <w:color w:val="auto"/>
        </w:rPr>
      </w:pPr>
      <w:r>
        <w:rPr>
          <w:rFonts w:hint="eastAsia" w:ascii="宋体" w:hAnsi="宋体" w:eastAsia="宋体"/>
          <w:b/>
          <w:color w:val="auto"/>
        </w:rPr>
        <w:t>（</w:t>
      </w:r>
      <w:r>
        <w:rPr>
          <w:rFonts w:hint="eastAsia" w:ascii="宋体" w:hAnsi="宋体" w:eastAsia="宋体"/>
          <w:b/>
          <w:color w:val="auto"/>
          <w:lang w:eastAsia="zh-CN"/>
        </w:rPr>
        <w:t>二</w:t>
      </w:r>
      <w:r>
        <w:rPr>
          <w:rFonts w:hint="eastAsia" w:ascii="宋体" w:hAnsi="宋体" w:eastAsia="宋体"/>
          <w:b/>
          <w:color w:val="auto"/>
        </w:rPr>
        <w:t>）防水卷材</w:t>
      </w:r>
    </w:p>
    <w:p>
      <w:pPr>
        <w:pStyle w:val="10"/>
        <w:spacing w:before="156" w:after="156"/>
        <w:ind w:firstLine="403" w:firstLineChars="192"/>
        <w:rPr>
          <w:rFonts w:hint="eastAsia" w:ascii="Times New Roman"/>
          <w:color w:val="auto"/>
        </w:rPr>
      </w:pPr>
      <w:r>
        <w:rPr>
          <w:rFonts w:hint="eastAsia" w:ascii="Times New Roman"/>
          <w:color w:val="auto"/>
        </w:rPr>
        <w:t>1、防水卷材</w:t>
      </w:r>
      <w:r>
        <w:rPr>
          <w:rFonts w:hint="eastAsia"/>
          <w:color w:val="auto"/>
        </w:rPr>
        <w:t>基本性能应符合产品标准GB12952、GB18242、GB18243、GB23441、GB/T23457、GB/T23260、GB18967、GB/T18173.1、GB27789、JC/T1075和JC/T974的要求。</w:t>
      </w:r>
      <w:r>
        <w:rPr>
          <w:rFonts w:hint="eastAsia" w:ascii="Times New Roman"/>
          <w:color w:val="auto"/>
        </w:rPr>
        <w:t>对于有外露使用要求的防水材料产品，其燃烧性能应符合</w:t>
      </w:r>
      <w:r>
        <w:rPr>
          <w:rFonts w:ascii="Times New Roman"/>
          <w:color w:val="auto"/>
        </w:rPr>
        <w:t>GB</w:t>
      </w:r>
      <w:r>
        <w:rPr>
          <w:rFonts w:hint="eastAsia" w:ascii="Times New Roman"/>
          <w:color w:val="auto"/>
        </w:rPr>
        <w:t>8624规定的B2（E）级要求；人工气候加速老化指数符合表7、表8要求。</w:t>
      </w:r>
    </w:p>
    <w:p>
      <w:pPr>
        <w:pStyle w:val="11"/>
        <w:numPr>
          <w:ilvl w:val="0"/>
          <w:numId w:val="0"/>
        </w:numPr>
        <w:adjustRightInd w:val="0"/>
        <w:snapToGrid w:val="0"/>
        <w:spacing w:before="156" w:after="156"/>
        <w:ind w:left="420"/>
        <w:rPr>
          <w:rFonts w:hint="eastAsia" w:ascii="Times New Roman" w:eastAsia="宋体"/>
          <w:color w:val="auto"/>
        </w:rPr>
      </w:pPr>
      <w:r>
        <w:rPr>
          <w:rFonts w:hint="eastAsia" w:ascii="Times New Roman"/>
          <w:color w:val="auto"/>
        </w:rPr>
        <w:t>2、</w:t>
      </w:r>
      <w:r>
        <w:rPr>
          <w:rFonts w:hint="eastAsia" w:ascii="Times New Roman" w:eastAsia="宋体"/>
          <w:color w:val="auto"/>
        </w:rPr>
        <w:t>产品中不应人为添加有害物质（苯、乙二醇醚及其酯类、二元胺、有机溶剂、酮类、</w:t>
      </w:r>
    </w:p>
    <w:p>
      <w:pPr>
        <w:pStyle w:val="11"/>
        <w:numPr>
          <w:ilvl w:val="0"/>
          <w:numId w:val="0"/>
        </w:numPr>
        <w:adjustRightInd w:val="0"/>
        <w:snapToGrid w:val="0"/>
        <w:spacing w:before="156" w:after="156"/>
        <w:rPr>
          <w:rFonts w:hint="eastAsia" w:ascii="Times New Roman" w:eastAsia="宋体"/>
          <w:color w:val="auto"/>
        </w:rPr>
      </w:pPr>
      <w:r>
        <w:rPr>
          <w:rFonts w:hint="eastAsia" w:ascii="Times New Roman" w:eastAsia="宋体"/>
          <w:color w:val="auto"/>
        </w:rPr>
        <w:t>持续性有机污染物、消耗臭氧层物质、邻苯二甲酸酯类、表面活性剂、多氯萘、多氯联苯、全氟烷基化合物）。</w:t>
      </w:r>
    </w:p>
    <w:p>
      <w:pPr>
        <w:pStyle w:val="9"/>
        <w:numPr>
          <w:ilvl w:val="0"/>
          <w:numId w:val="0"/>
        </w:numPr>
        <w:spacing w:before="156" w:beforeLines="50" w:after="156" w:afterLines="50"/>
        <w:jc w:val="center"/>
        <w:outlineLvl w:val="9"/>
        <w:rPr>
          <w:rFonts w:hint="eastAsia" w:ascii="宋体" w:hAnsi="宋体" w:eastAsia="宋体"/>
          <w:color w:val="auto"/>
        </w:rPr>
      </w:pPr>
      <w:r>
        <w:rPr>
          <w:rFonts w:hint="eastAsia" w:ascii="宋体" w:hAnsi="宋体" w:eastAsia="宋体"/>
          <w:color w:val="auto"/>
        </w:rPr>
        <w:t>表</w:t>
      </w:r>
      <w:r>
        <w:rPr>
          <w:rFonts w:hint="eastAsia" w:ascii="宋体" w:hAnsi="宋体" w:eastAsia="宋体"/>
          <w:color w:val="auto"/>
          <w:lang w:val="en-US" w:eastAsia="zh-CN"/>
        </w:rPr>
        <w:t>6</w:t>
      </w:r>
      <w:r>
        <w:rPr>
          <w:rFonts w:hint="eastAsia" w:ascii="宋体" w:hAnsi="宋体" w:eastAsia="宋体"/>
          <w:color w:val="auto"/>
        </w:rPr>
        <w:t xml:space="preserve">    沥青基防水卷材指标要求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8"/>
        <w:gridCol w:w="1726"/>
        <w:gridCol w:w="1081"/>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113"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2113"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总悬浮颗粒物浓度</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mg/m2</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27"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沥青软化点</w:t>
            </w:r>
          </w:p>
        </w:tc>
        <w:tc>
          <w:tcPr>
            <w:tcW w:w="1086"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弹性体改性沥青</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27"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86"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塑性体改性沥青</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30"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耐水性能</w:t>
            </w:r>
          </w:p>
        </w:tc>
        <w:tc>
          <w:tcPr>
            <w:tcW w:w="108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浸泡时间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h</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30"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8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拉伸强度保持率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35" w:type="pct"/>
            <w:gridSpan w:val="2"/>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耐久性（热空气</w:t>
            </w:r>
          </w:p>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老化）</w:t>
            </w: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温度时间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80℃/28d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35" w:type="pct"/>
            <w:gridSpan w:val="2"/>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拉伸性能保持率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35" w:type="pct"/>
            <w:gridSpan w:val="2"/>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低温柔度</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无裂纹</w:t>
            </w:r>
          </w:p>
        </w:tc>
      </w:tr>
    </w:tbl>
    <w:tbl>
      <w:tblPr>
        <w:tblStyle w:val="5"/>
        <w:tblpPr w:leftFromText="180" w:rightFromText="180" w:vertAnchor="text" w:tblpX="10214" w:tblpY="-9543"/>
        <w:tblOverlap w:val="never"/>
        <w:tblW w:w="13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2" w:type="dxa"/>
          <w:trHeight w:val="30" w:hRule="atLeast"/>
        </w:trPr>
        <w:tc>
          <w:tcPr>
            <w:tcW w:w="1326" w:type="pct"/>
            <w:noWrap w:val="0"/>
            <w:vAlign w:val="top"/>
          </w:tcPr>
          <w:p>
            <w:pPr>
              <w:widowControl/>
              <w:jc w:val="center"/>
              <w:rPr>
                <w:rFonts w:hint="eastAsia" w:ascii="宋体"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gridSpan w:val="2"/>
            <w:noWrap w:val="0"/>
            <w:vAlign w:val="top"/>
          </w:tcPr>
          <w:p>
            <w:pPr>
              <w:widowControl/>
              <w:jc w:val="center"/>
              <w:rPr>
                <w:rFonts w:hint="eastAsia" w:ascii="宋体" w:hAnsi="Times New Roman" w:eastAsia="宋体" w:cs="Times New Roman"/>
                <w:color w:val="auto"/>
                <w:kern w:val="0"/>
                <w:sz w:val="18"/>
                <w:szCs w:val="18"/>
                <w:lang w:val="en-US" w:eastAsia="zh-CN" w:bidi="ar-SA"/>
              </w:rPr>
            </w:pPr>
          </w:p>
        </w:tc>
      </w:tr>
    </w:tbl>
    <w:tbl>
      <w:tblPr>
        <w:tblStyle w:val="5"/>
        <w:tblpPr w:leftFromText="180" w:rightFromText="180" w:vertAnchor="text" w:tblpX="10214" w:tblpY="-95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62" w:type="dxa"/>
            <w:noWrap w:val="0"/>
            <w:vAlign w:val="top"/>
          </w:tcPr>
          <w:p>
            <w:pPr>
              <w:widowControl/>
              <w:jc w:val="center"/>
              <w:rPr>
                <w:rFonts w:hint="eastAsia" w:ascii="宋体" w:hAnsi="Times New Roman" w:eastAsia="宋体" w:cs="Times New Roman"/>
                <w:color w:val="auto"/>
                <w:kern w:val="0"/>
                <w:sz w:val="18"/>
                <w:szCs w:val="18"/>
                <w:lang w:val="en-US" w:eastAsia="zh-CN" w:bidi="ar-SA"/>
              </w:rPr>
            </w:pPr>
          </w:p>
        </w:tc>
      </w:tr>
    </w:tbl>
    <w:tbl>
      <w:tblPr>
        <w:tblStyle w:val="5"/>
        <w:tblpPr w:leftFromText="180" w:rightFromText="180" w:vertAnchor="text" w:tblpX="10214" w:tblpY="-9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62" w:type="dxa"/>
            <w:noWrap w:val="0"/>
            <w:vAlign w:val="top"/>
          </w:tcPr>
          <w:p>
            <w:pPr>
              <w:widowControl/>
              <w:jc w:val="center"/>
              <w:rPr>
                <w:rFonts w:hint="eastAsia" w:ascii="宋体"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62" w:type="dxa"/>
            <w:noWrap w:val="0"/>
            <w:vAlign w:val="top"/>
          </w:tcPr>
          <w:p>
            <w:pPr>
              <w:widowControl/>
              <w:jc w:val="center"/>
              <w:rPr>
                <w:rFonts w:hint="eastAsia" w:ascii="宋体" w:hAnsi="Times New Roman" w:eastAsia="宋体" w:cs="Times New Roman"/>
                <w:color w:val="auto"/>
                <w:kern w:val="0"/>
                <w:sz w:val="18"/>
                <w:szCs w:val="18"/>
                <w:lang w:val="en-US" w:eastAsia="zh-CN" w:bidi="ar-SA"/>
              </w:rPr>
            </w:pPr>
          </w:p>
        </w:tc>
      </w:tr>
    </w:tbl>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表7    高分子防水卷材指标要求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63"/>
        <w:gridCol w:w="6"/>
        <w:gridCol w:w="1723"/>
        <w:gridCol w:w="1081"/>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113"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113"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总悬浮颗粒物浓度</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mg/m2</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30" w:type="pct"/>
            <w:gridSpan w:val="2"/>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耐水性能</w:t>
            </w:r>
          </w:p>
        </w:tc>
        <w:tc>
          <w:tcPr>
            <w:tcW w:w="108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浸泡时间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h</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30" w:type="pct"/>
            <w:gridSpan w:val="2"/>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83"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拉伸强度保持率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90" w:type="pct"/>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耐久性</w:t>
            </w:r>
          </w:p>
        </w:tc>
        <w:tc>
          <w:tcPr>
            <w:tcW w:w="544" w:type="pct"/>
            <w:gridSpan w:val="2"/>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热空气</w:t>
            </w:r>
          </w:p>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老化</w:t>
            </w: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延长标准规定的处理时间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倍</w:t>
            </w:r>
          </w:p>
        </w:tc>
        <w:tc>
          <w:tcPr>
            <w:tcW w:w="22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90"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544" w:type="pct"/>
            <w:gridSpan w:val="2"/>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拉伸性能保持率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90"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544" w:type="pct"/>
            <w:gridSpan w:val="2"/>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低温弯折性</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90"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544" w:type="pct"/>
            <w:gridSpan w:val="2"/>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人工气候加速老化</w:t>
            </w: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h</w:t>
            </w:r>
          </w:p>
        </w:tc>
        <w:tc>
          <w:tcPr>
            <w:tcW w:w="22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90"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544" w:type="pct"/>
            <w:gridSpan w:val="2"/>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拉伸性能保持率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90"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544" w:type="pct"/>
            <w:gridSpan w:val="2"/>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0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低温弯折性</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无裂纹</w:t>
            </w:r>
          </w:p>
        </w:tc>
      </w:tr>
    </w:tbl>
    <w:p>
      <w:pPr>
        <w:pStyle w:val="12"/>
        <w:numPr>
          <w:ilvl w:val="0"/>
          <w:numId w:val="0"/>
        </w:numPr>
        <w:spacing w:before="156" w:after="156"/>
        <w:ind w:firstLine="420" w:firstLineChars="200"/>
        <w:rPr>
          <w:rFonts w:hint="eastAsia" w:ascii="宋体" w:hAnsi="宋体" w:eastAsia="宋体" w:cs="宋体"/>
          <w:color w:val="auto"/>
        </w:rPr>
      </w:pPr>
      <w:r>
        <w:rPr>
          <w:rFonts w:hint="eastAsia" w:ascii="宋体" w:hAnsi="宋体" w:eastAsia="宋体" w:cs="宋体"/>
          <w:color w:val="auto"/>
        </w:rPr>
        <w:t>注：申报单位提供上述要求的相关证明文件。</w:t>
      </w:r>
    </w:p>
    <w:p>
      <w:pPr>
        <w:pStyle w:val="12"/>
        <w:numPr>
          <w:ilvl w:val="0"/>
          <w:numId w:val="0"/>
        </w:numPr>
        <w:spacing w:before="156" w:after="156"/>
        <w:rPr>
          <w:rFonts w:hint="eastAsia" w:ascii="宋体" w:hAnsi="宋体" w:eastAsia="宋体"/>
          <w:b/>
          <w:color w:val="auto"/>
        </w:rPr>
      </w:pPr>
      <w:r>
        <w:rPr>
          <w:rFonts w:hint="eastAsia" w:ascii="宋体" w:hAnsi="宋体" w:eastAsia="宋体"/>
          <w:b/>
          <w:color w:val="auto"/>
        </w:rPr>
        <w:t>（</w:t>
      </w:r>
      <w:r>
        <w:rPr>
          <w:rFonts w:hint="eastAsia" w:ascii="宋体" w:hAnsi="宋体" w:eastAsia="宋体"/>
          <w:b/>
          <w:color w:val="auto"/>
          <w:lang w:eastAsia="zh-CN"/>
        </w:rPr>
        <w:t>三</w:t>
      </w:r>
      <w:r>
        <w:rPr>
          <w:rFonts w:hint="eastAsia" w:ascii="宋体" w:hAnsi="宋体" w:eastAsia="宋体"/>
          <w:b/>
          <w:color w:val="auto"/>
        </w:rPr>
        <w:t>）防水涂料</w:t>
      </w:r>
    </w:p>
    <w:p>
      <w:pPr>
        <w:pStyle w:val="10"/>
        <w:spacing w:before="156" w:after="156"/>
        <w:rPr>
          <w:rFonts w:hint="eastAsia" w:ascii="Times New Roman"/>
          <w:color w:val="auto"/>
        </w:rPr>
      </w:pPr>
      <w:r>
        <w:rPr>
          <w:rFonts w:hint="eastAsia" w:ascii="Times New Roman"/>
          <w:color w:val="auto"/>
        </w:rPr>
        <w:t>1、防水涂料</w:t>
      </w:r>
      <w:r>
        <w:rPr>
          <w:rFonts w:hint="eastAsia"/>
          <w:color w:val="auto"/>
        </w:rPr>
        <w:t>基本性能应符合产品标准GB/T19250、GB/T23445、GB/T23446、JC/T408、JC/T864、JC/T975、JC/T2251和JC/T375。</w:t>
      </w:r>
      <w:r>
        <w:rPr>
          <w:rFonts w:hint="eastAsia" w:ascii="Times New Roman"/>
          <w:color w:val="auto"/>
        </w:rPr>
        <w:t>对于有外露使用要求的防水材料产品，其燃烧性能应符合</w:t>
      </w:r>
      <w:r>
        <w:rPr>
          <w:rFonts w:ascii="Times New Roman"/>
          <w:color w:val="auto"/>
        </w:rPr>
        <w:t>GB</w:t>
      </w:r>
      <w:r>
        <w:rPr>
          <w:rFonts w:hint="eastAsia" w:ascii="Times New Roman"/>
          <w:color w:val="auto"/>
        </w:rPr>
        <w:t>8624规定的B2（E）级要求。</w:t>
      </w:r>
    </w:p>
    <w:p>
      <w:pPr>
        <w:pStyle w:val="10"/>
        <w:rPr>
          <w:color w:val="auto"/>
        </w:rPr>
      </w:pPr>
      <w:r>
        <w:rPr>
          <w:rFonts w:hint="eastAsia" w:ascii="Times New Roman"/>
          <w:color w:val="auto"/>
        </w:rPr>
        <w:t>2、产品中不应人为添加有害物质（苯、乙二醇醚及其酯类、二元胺、有机溶剂、酮类、持续性有机污染物、消耗臭氧层物质、邻苯二甲酸酯类、表面活性剂、多氯萘、多氯联苯、全氟烷基化合物）。</w:t>
      </w:r>
    </w:p>
    <w:p>
      <w:pPr>
        <w:pStyle w:val="9"/>
        <w:numPr>
          <w:ilvl w:val="0"/>
          <w:numId w:val="0"/>
        </w:numPr>
        <w:spacing w:before="156" w:beforeLines="50" w:after="156" w:afterLines="50"/>
        <w:jc w:val="center"/>
        <w:outlineLvl w:val="9"/>
        <w:rPr>
          <w:rFonts w:hint="eastAsia" w:ascii="Times New Roman"/>
          <w:color w:val="auto"/>
        </w:rPr>
      </w:pPr>
      <w:r>
        <w:rPr>
          <w:rFonts w:hint="eastAsia" w:ascii="Times New Roman"/>
          <w:color w:val="auto"/>
        </w:rPr>
        <w:t>表</w:t>
      </w:r>
      <w:r>
        <w:rPr>
          <w:rFonts w:hint="eastAsia" w:ascii="Times New Roman"/>
          <w:color w:val="auto"/>
          <w:lang w:val="en-US" w:eastAsia="zh-CN"/>
        </w:rPr>
        <w:t>8</w:t>
      </w:r>
      <w:r>
        <w:rPr>
          <w:rFonts w:hint="eastAsia" w:ascii="Times New Roman"/>
          <w:color w:val="auto"/>
        </w:rPr>
        <w:t xml:space="preserve">   水性防水涂料指标要求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
        <w:gridCol w:w="1078"/>
        <w:gridCol w:w="1970"/>
        <w:gridCol w:w="1081"/>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11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1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空气中粉尘容许浓度</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mg/m3</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11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产品废水排放</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t/t</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20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耐水性</w:t>
            </w:r>
          </w:p>
        </w:tc>
        <w:tc>
          <w:tcPr>
            <w:tcW w:w="67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地下用、屋面、室外</w:t>
            </w: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拉伸强度和粘接强度保持率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5"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室内用</w:t>
            </w: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拉伸强度和粘接强度保持率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20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耐久性</w:t>
            </w:r>
          </w:p>
        </w:tc>
        <w:tc>
          <w:tcPr>
            <w:tcW w:w="67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热空气</w:t>
            </w:r>
          </w:p>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老化</w:t>
            </w: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延长标准规定的处理</w:t>
            </w:r>
          </w:p>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倍</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热空气老化</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05"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人工气候加速老化a</w:t>
            </w: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h</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人工气候加速老化</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05" w:type="pct"/>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有害物质b</w:t>
            </w: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挥发性有机物（VOC）</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g/L</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游离甲醛</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氨</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苯</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苯、甲苯、乙苯、二甲苯的含量总和</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可溶性重金属c</w:t>
            </w: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铅Pb</w:t>
            </w:r>
          </w:p>
        </w:tc>
        <w:tc>
          <w:tcPr>
            <w:tcW w:w="677"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镉Cd</w:t>
            </w:r>
          </w:p>
        </w:tc>
        <w:tc>
          <w:tcPr>
            <w:tcW w:w="677"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铬Cr</w:t>
            </w:r>
          </w:p>
        </w:tc>
        <w:tc>
          <w:tcPr>
            <w:tcW w:w="677"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汞Hg</w:t>
            </w:r>
          </w:p>
        </w:tc>
        <w:tc>
          <w:tcPr>
            <w:tcW w:w="677"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noWrap w:val="0"/>
            <w:vAlign w:val="top"/>
          </w:tcPr>
          <w:p>
            <w:pPr>
              <w:widowControl/>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a 适用于外露适用的产品。</w:t>
            </w:r>
          </w:p>
          <w:p>
            <w:pPr>
              <w:widowControl/>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b 水性涂料仅针对液料，结果按液体组分计算（除可溶性重金属）。</w:t>
            </w:r>
          </w:p>
          <w:p>
            <w:pPr>
              <w:widowControl/>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c 仅针对粉料组合</w:t>
            </w:r>
          </w:p>
        </w:tc>
      </w:tr>
    </w:tbl>
    <w:p>
      <w:pPr>
        <w:pStyle w:val="9"/>
        <w:numPr>
          <w:ilvl w:val="0"/>
          <w:numId w:val="0"/>
        </w:numPr>
        <w:spacing w:before="156" w:beforeLines="50" w:after="156" w:afterLines="50"/>
        <w:jc w:val="center"/>
        <w:outlineLvl w:val="9"/>
        <w:rPr>
          <w:rFonts w:hint="eastAsia" w:ascii="Times New Roman"/>
          <w:color w:val="auto"/>
          <w:szCs w:val="22"/>
        </w:rPr>
      </w:pPr>
      <w:r>
        <w:rPr>
          <w:rFonts w:hint="eastAsia" w:ascii="Times New Roman"/>
          <w:color w:val="auto"/>
          <w:szCs w:val="22"/>
        </w:rPr>
        <w:t>表</w:t>
      </w:r>
      <w:r>
        <w:rPr>
          <w:rFonts w:hint="eastAsia" w:ascii="Times New Roman"/>
          <w:color w:val="auto"/>
          <w:szCs w:val="22"/>
          <w:lang w:val="en-US" w:eastAsia="zh-CN"/>
        </w:rPr>
        <w:t>9</w:t>
      </w:r>
      <w:r>
        <w:rPr>
          <w:rFonts w:hint="eastAsia" w:ascii="Times New Roman"/>
          <w:color w:val="auto"/>
          <w:szCs w:val="22"/>
        </w:rPr>
        <w:t xml:space="preserve">   高固含量型防水涂料指标要求</w:t>
      </w:r>
    </w:p>
    <w:tbl>
      <w:tblPr>
        <w:tblStyle w:val="5"/>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
        <w:gridCol w:w="1078"/>
        <w:gridCol w:w="1970"/>
        <w:gridCol w:w="1081"/>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11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1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产品废水排放</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t/t</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耐水性</w:t>
            </w:r>
          </w:p>
        </w:tc>
        <w:tc>
          <w:tcPr>
            <w:tcW w:w="190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拉伸强度和粘接强度保持率</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耐久性</w:t>
            </w:r>
          </w:p>
        </w:tc>
        <w:tc>
          <w:tcPr>
            <w:tcW w:w="67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热空气</w:t>
            </w:r>
          </w:p>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老化</w:t>
            </w: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延长标准规定的处理</w:t>
            </w:r>
          </w:p>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倍</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热空气老化</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05" w:type="pct"/>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人工气候加速老化a</w:t>
            </w: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时间</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h</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人工气候加速老化</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220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05" w:type="pct"/>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有害物质</w:t>
            </w: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挥发性有机物（VOC）</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g/L</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单组分≤ 100、多组分≤50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苯</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苯、甲苯、乙苯、二甲苯的含量总和</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苯酚b</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蒽b</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萘b</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909" w:type="pct"/>
            <w:gridSpan w:val="2"/>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游离甲苯二异氰酸酯b</w:t>
            </w:r>
          </w:p>
        </w:tc>
        <w:tc>
          <w:tcPr>
            <w:tcW w:w="677"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restar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可溶性重金属c</w:t>
            </w: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铅Pb</w:t>
            </w:r>
          </w:p>
        </w:tc>
        <w:tc>
          <w:tcPr>
            <w:tcW w:w="677"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镉Cd</w:t>
            </w:r>
          </w:p>
        </w:tc>
        <w:tc>
          <w:tcPr>
            <w:tcW w:w="677"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铬Cr</w:t>
            </w:r>
          </w:p>
        </w:tc>
        <w:tc>
          <w:tcPr>
            <w:tcW w:w="677"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0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675" w:type="pct"/>
            <w:vMerge w:val="continue"/>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p>
        </w:tc>
        <w:tc>
          <w:tcPr>
            <w:tcW w:w="123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汞Hg</w:t>
            </w:r>
          </w:p>
        </w:tc>
        <w:tc>
          <w:tcPr>
            <w:tcW w:w="677"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2209" w:type="pct"/>
            <w:tcBorders>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00" w:type="pct"/>
            <w:gridSpan w:val="5"/>
            <w:noWrap w:val="0"/>
            <w:vAlign w:val="top"/>
          </w:tcPr>
          <w:p>
            <w:pPr>
              <w:widowControl/>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a 适用于外露适用的产品。</w:t>
            </w:r>
          </w:p>
          <w:p>
            <w:pPr>
              <w:widowControl/>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b 仅适用聚氨酯类防水涂料。</w:t>
            </w:r>
          </w:p>
          <w:p>
            <w:pPr>
              <w:widowControl/>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c 仅针对粉料组合</w:t>
            </w:r>
          </w:p>
        </w:tc>
      </w:tr>
    </w:tbl>
    <w:p>
      <w:pPr>
        <w:pStyle w:val="12"/>
        <w:numPr>
          <w:ilvl w:val="0"/>
          <w:numId w:val="0"/>
        </w:numPr>
        <w:spacing w:before="156" w:after="156"/>
        <w:ind w:firstLine="420" w:firstLineChars="200"/>
        <w:rPr>
          <w:rFonts w:hint="eastAsia" w:ascii="宋体" w:hAnsi="宋体" w:eastAsia="宋体" w:cs="宋体"/>
          <w:color w:val="auto"/>
        </w:rPr>
      </w:pPr>
      <w:r>
        <w:rPr>
          <w:rFonts w:hint="eastAsia" w:ascii="宋体" w:hAnsi="宋体" w:eastAsia="宋体" w:cs="宋体"/>
          <w:color w:val="auto"/>
        </w:rPr>
        <w:t>注：申报单位提供上述要求的相关证明文件。</w:t>
      </w:r>
    </w:p>
    <w:p>
      <w:pPr>
        <w:pStyle w:val="12"/>
        <w:numPr>
          <w:ilvl w:val="0"/>
          <w:numId w:val="2"/>
        </w:numPr>
        <w:spacing w:before="156" w:after="156"/>
        <w:rPr>
          <w:rFonts w:hint="eastAsia" w:ascii="宋体" w:hAnsi="宋体" w:eastAsia="宋体"/>
          <w:b/>
          <w:color w:val="auto"/>
          <w:u w:val="none"/>
        </w:rPr>
      </w:pPr>
      <w:r>
        <w:rPr>
          <w:rFonts w:hint="eastAsia" w:ascii="宋体" w:hAnsi="宋体" w:eastAsia="宋体"/>
          <w:b/>
          <w:color w:val="auto"/>
          <w:u w:val="none"/>
          <w:lang w:eastAsia="zh-CN"/>
        </w:rPr>
        <w:t>加气块</w:t>
      </w:r>
      <w:r>
        <w:rPr>
          <w:rFonts w:hint="eastAsia" w:ascii="宋体" w:hAnsi="宋体" w:eastAsia="宋体"/>
          <w:b/>
          <w:color w:val="auto"/>
          <w:u w:val="none"/>
        </w:rPr>
        <w:t>：</w:t>
      </w:r>
    </w:p>
    <w:p>
      <w:pPr>
        <w:pStyle w:val="11"/>
        <w:numPr>
          <w:ilvl w:val="0"/>
          <w:numId w:val="0"/>
        </w:numPr>
        <w:adjustRightInd w:val="0"/>
        <w:snapToGrid w:val="0"/>
        <w:spacing w:before="156" w:after="156"/>
        <w:ind w:firstLine="420" w:firstLineChars="200"/>
        <w:rPr>
          <w:rFonts w:hint="eastAsia"/>
          <w:color w:val="auto"/>
        </w:rPr>
      </w:pPr>
      <w:r>
        <w:rPr>
          <w:rFonts w:hint="eastAsia"/>
          <w:color w:val="auto"/>
          <w:lang w:val="en-US" w:eastAsia="zh-CN"/>
        </w:rPr>
        <w:t>1、</w:t>
      </w:r>
      <w:r>
        <w:rPr>
          <w:rFonts w:hint="eastAsia"/>
          <w:color w:val="auto"/>
        </w:rPr>
        <w:t>单线年生产能力20万立方米及以上生产线，采用4.2米以上切割机、电子计量配料、六面扒皮、配有抽真空装置，不超过一天两周转；</w:t>
      </w:r>
    </w:p>
    <w:p>
      <w:pPr>
        <w:pStyle w:val="11"/>
        <w:numPr>
          <w:ilvl w:val="0"/>
          <w:numId w:val="0"/>
        </w:numPr>
        <w:adjustRightInd w:val="0"/>
        <w:snapToGrid w:val="0"/>
        <w:spacing w:before="156" w:after="156"/>
        <w:ind w:firstLine="420" w:firstLineChars="200"/>
        <w:rPr>
          <w:rFonts w:hint="eastAsia"/>
          <w:color w:val="auto"/>
        </w:rPr>
      </w:pPr>
      <w:r>
        <w:rPr>
          <w:rFonts w:hint="eastAsia"/>
          <w:color w:val="auto"/>
        </w:rPr>
        <w:t>2.安全生产标准化满足GB/T33000要求；</w:t>
      </w:r>
    </w:p>
    <w:p>
      <w:pPr>
        <w:pStyle w:val="11"/>
        <w:numPr>
          <w:ilvl w:val="0"/>
          <w:numId w:val="0"/>
        </w:numPr>
        <w:adjustRightInd w:val="0"/>
        <w:snapToGrid w:val="0"/>
        <w:spacing w:before="156" w:after="156"/>
        <w:ind w:firstLine="420" w:firstLineChars="200"/>
        <w:rPr>
          <w:rFonts w:hint="eastAsia"/>
          <w:color w:val="auto"/>
        </w:rPr>
      </w:pPr>
      <w:r>
        <w:rPr>
          <w:rFonts w:hint="eastAsia"/>
          <w:color w:val="auto"/>
        </w:rPr>
        <w:t>3.具备符合GB/T23331要求的运行能源管理体系；</w:t>
      </w:r>
    </w:p>
    <w:p>
      <w:pPr>
        <w:pStyle w:val="11"/>
        <w:numPr>
          <w:ilvl w:val="0"/>
          <w:numId w:val="0"/>
        </w:numPr>
        <w:adjustRightInd w:val="0"/>
        <w:snapToGrid w:val="0"/>
        <w:spacing w:before="156" w:after="156"/>
        <w:ind w:firstLine="420" w:firstLineChars="200"/>
        <w:rPr>
          <w:rFonts w:hint="eastAsia" w:eastAsia="黑体"/>
          <w:color w:val="auto"/>
          <w:lang w:eastAsia="zh-CN"/>
        </w:rPr>
      </w:pPr>
      <w:r>
        <w:rPr>
          <w:rFonts w:hint="eastAsia"/>
          <w:color w:val="auto"/>
        </w:rPr>
        <w:t>4.具备GB/T24025要求的砌体材料的环境产品声明（EPD）和碳足迹报告</w:t>
      </w:r>
      <w:r>
        <w:rPr>
          <w:rFonts w:hint="eastAsia"/>
          <w:color w:val="auto"/>
          <w:lang w:eastAsia="zh-CN"/>
        </w:rPr>
        <w:t>；</w:t>
      </w:r>
    </w:p>
    <w:p>
      <w:pPr>
        <w:pStyle w:val="11"/>
        <w:numPr>
          <w:ilvl w:val="0"/>
          <w:numId w:val="0"/>
        </w:numPr>
        <w:adjustRightInd w:val="0"/>
        <w:snapToGrid w:val="0"/>
        <w:spacing w:before="156" w:after="156"/>
        <w:ind w:firstLine="420" w:firstLineChars="200"/>
        <w:rPr>
          <w:rFonts w:hint="eastAsia"/>
          <w:color w:val="auto"/>
        </w:rPr>
      </w:pPr>
      <w:r>
        <w:rPr>
          <w:rFonts w:hint="eastAsia"/>
          <w:color w:val="auto"/>
        </w:rPr>
        <w:t>5.产品配比中固体废弃物掺加量≥50%，原材料本地化程度≥85%；</w:t>
      </w:r>
    </w:p>
    <w:p>
      <w:pPr>
        <w:pStyle w:val="11"/>
        <w:numPr>
          <w:ilvl w:val="0"/>
          <w:numId w:val="0"/>
        </w:numPr>
        <w:adjustRightInd w:val="0"/>
        <w:snapToGrid w:val="0"/>
        <w:spacing w:before="156" w:after="156"/>
        <w:ind w:firstLine="420" w:firstLineChars="200"/>
        <w:rPr>
          <w:rFonts w:hint="eastAsia"/>
          <w:color w:val="auto"/>
        </w:rPr>
      </w:pPr>
      <w:r>
        <w:rPr>
          <w:rFonts w:hint="eastAsia"/>
          <w:color w:val="auto"/>
        </w:rPr>
        <w:t>6.蒸汽外供企业单位综合能耗应≤23kgce/m3，自备锅炉、蒸汽企业≤22kgce/m3；</w:t>
      </w:r>
    </w:p>
    <w:p>
      <w:pPr>
        <w:pStyle w:val="11"/>
        <w:numPr>
          <w:ilvl w:val="0"/>
          <w:numId w:val="0"/>
        </w:numPr>
        <w:adjustRightInd w:val="0"/>
        <w:snapToGrid w:val="0"/>
        <w:spacing w:before="156" w:after="156"/>
        <w:ind w:firstLine="420" w:firstLineChars="200"/>
        <w:rPr>
          <w:rFonts w:hint="eastAsia"/>
          <w:color w:val="auto"/>
        </w:rPr>
      </w:pPr>
      <w:r>
        <w:rPr>
          <w:rFonts w:hint="eastAsia"/>
          <w:color w:val="auto"/>
        </w:rPr>
        <w:t>7.产品生产废水零排放量，生产过程产生废弃物可利用率大于80%；</w:t>
      </w:r>
    </w:p>
    <w:p>
      <w:pPr>
        <w:pStyle w:val="11"/>
        <w:numPr>
          <w:ilvl w:val="0"/>
          <w:numId w:val="0"/>
        </w:numPr>
        <w:adjustRightInd w:val="0"/>
        <w:snapToGrid w:val="0"/>
        <w:spacing w:before="156" w:after="156"/>
        <w:ind w:firstLine="420" w:firstLineChars="200"/>
        <w:rPr>
          <w:rFonts w:hint="eastAsia"/>
          <w:color w:val="auto"/>
        </w:rPr>
      </w:pPr>
      <w:r>
        <w:rPr>
          <w:rFonts w:hint="eastAsia"/>
          <w:color w:val="auto"/>
        </w:rPr>
        <w:t>8.抗规定次数冻融循环质量损失率小于5%，强度损失率15%；</w:t>
      </w:r>
    </w:p>
    <w:p>
      <w:pPr>
        <w:pStyle w:val="11"/>
        <w:numPr>
          <w:ilvl w:val="0"/>
          <w:numId w:val="0"/>
        </w:numPr>
        <w:adjustRightInd w:val="0"/>
        <w:snapToGrid w:val="0"/>
        <w:spacing w:before="156" w:after="156"/>
        <w:ind w:firstLine="420" w:firstLineChars="200"/>
        <w:rPr>
          <w:rFonts w:hint="eastAsia"/>
          <w:color w:val="auto"/>
        </w:rPr>
      </w:pPr>
      <w:r>
        <w:rPr>
          <w:rFonts w:hint="eastAsia"/>
          <w:color w:val="auto"/>
        </w:rPr>
        <w:t>9.导热系数≤标准值。</w:t>
      </w:r>
    </w:p>
    <w:p>
      <w:pPr>
        <w:pStyle w:val="10"/>
        <w:numPr>
          <w:ilvl w:val="0"/>
          <w:numId w:val="0"/>
        </w:numPr>
        <w:rPr>
          <w:rFonts w:hint="eastAsia"/>
          <w:color w:val="auto"/>
        </w:rPr>
      </w:pPr>
    </w:p>
    <w:p>
      <w:pPr>
        <w:pStyle w:val="10"/>
        <w:ind w:left="0" w:leftChars="0" w:firstLine="0" w:firstLineChars="0"/>
        <w:rPr>
          <w:rFonts w:hint="eastAsia" w:ascii="Times New Roman"/>
          <w:b/>
          <w:color w:val="auto"/>
          <w:szCs w:val="21"/>
        </w:rPr>
      </w:pPr>
      <w:r>
        <w:rPr>
          <w:rFonts w:hint="eastAsia" w:hAnsi="宋体"/>
          <w:b/>
          <w:color w:val="auto"/>
        </w:rPr>
        <w:t>（</w:t>
      </w:r>
      <w:r>
        <w:rPr>
          <w:rFonts w:hint="eastAsia" w:hAnsi="宋体"/>
          <w:b/>
          <w:color w:val="auto"/>
          <w:lang w:eastAsia="zh-CN"/>
        </w:rPr>
        <w:t>五</w:t>
      </w:r>
      <w:r>
        <w:rPr>
          <w:rFonts w:hint="eastAsia" w:hAnsi="宋体"/>
          <w:b/>
          <w:color w:val="auto"/>
        </w:rPr>
        <w:t>）</w:t>
      </w:r>
      <w:r>
        <w:rPr>
          <w:rFonts w:hint="eastAsia"/>
          <w:b/>
          <w:color w:val="auto"/>
          <w:szCs w:val="21"/>
        </w:rPr>
        <w:t>墙面涂料</w:t>
      </w:r>
    </w:p>
    <w:p>
      <w:pPr>
        <w:pStyle w:val="11"/>
        <w:numPr>
          <w:ilvl w:val="0"/>
          <w:numId w:val="0"/>
        </w:numPr>
        <w:adjustRightInd w:val="0"/>
        <w:snapToGrid w:val="0"/>
        <w:spacing w:before="156" w:after="156"/>
        <w:ind w:firstLine="420" w:firstLineChars="200"/>
        <w:rPr>
          <w:rFonts w:hint="eastAsia"/>
          <w:color w:val="auto"/>
        </w:rPr>
      </w:pPr>
      <w:r>
        <w:rPr>
          <w:rFonts w:hint="eastAsia"/>
          <w:color w:val="auto"/>
        </w:rPr>
        <w:t>1、墙面</w:t>
      </w:r>
      <w:r>
        <w:rPr>
          <w:rFonts w:hint="eastAsia" w:ascii="Times New Roman" w:eastAsia="宋体"/>
          <w:color w:val="auto"/>
        </w:rPr>
        <w:t>材料基本性能应符合GB/T 9755、GB/T 9756、GB/T 9779、JG/T 24、JG/T 157、JG/T 172、JG/T 298、JG/T 445的要求。</w:t>
      </w:r>
    </w:p>
    <w:p>
      <w:pPr>
        <w:pStyle w:val="11"/>
        <w:numPr>
          <w:ilvl w:val="0"/>
          <w:numId w:val="0"/>
        </w:numPr>
        <w:adjustRightInd w:val="0"/>
        <w:snapToGrid w:val="0"/>
        <w:spacing w:before="156" w:after="156"/>
        <w:ind w:firstLine="420" w:firstLineChars="200"/>
        <w:rPr>
          <w:rFonts w:ascii="Times New Roman"/>
          <w:color w:val="auto"/>
        </w:rPr>
      </w:pPr>
      <w:r>
        <w:rPr>
          <w:rFonts w:hint="eastAsia"/>
          <w:color w:val="auto"/>
        </w:rPr>
        <w:t>2、</w:t>
      </w:r>
      <w:r>
        <w:rPr>
          <w:rFonts w:hint="eastAsia" w:ascii="Times New Roman" w:eastAsia="宋体"/>
          <w:color w:val="auto"/>
        </w:rPr>
        <w:t>生产企业应安装有效的颗粒物回收装置和有效的局部或整体密闭排气收集系统，收集后进入密闭式负压废气处理系统，并正常运转。</w:t>
      </w:r>
    </w:p>
    <w:p>
      <w:pPr>
        <w:pStyle w:val="12"/>
        <w:numPr>
          <w:ilvl w:val="0"/>
          <w:numId w:val="0"/>
        </w:numPr>
        <w:spacing w:before="156" w:after="156"/>
        <w:ind w:firstLine="420" w:firstLineChars="200"/>
        <w:rPr>
          <w:rFonts w:hint="eastAsia" w:ascii="Times New Roman" w:eastAsia="宋体"/>
          <w:color w:val="auto"/>
        </w:rPr>
      </w:pPr>
      <w:r>
        <w:rPr>
          <w:rFonts w:hint="eastAsia"/>
          <w:color w:val="auto"/>
        </w:rPr>
        <w:t>3、</w:t>
      </w:r>
      <w:r>
        <w:rPr>
          <w:rFonts w:hint="eastAsia" w:ascii="Times New Roman" w:eastAsia="宋体"/>
          <w:color w:val="auto"/>
        </w:rPr>
        <w:t>生产企业在制造过程中不应添加国家、地区和行业命令禁用的有害物质。</w:t>
      </w:r>
    </w:p>
    <w:p>
      <w:pPr>
        <w:pStyle w:val="12"/>
        <w:numPr>
          <w:ilvl w:val="0"/>
          <w:numId w:val="0"/>
        </w:numPr>
        <w:spacing w:before="156" w:after="156"/>
        <w:ind w:firstLine="420" w:firstLineChars="200"/>
        <w:rPr>
          <w:rFonts w:hint="eastAsia"/>
          <w:color w:val="auto"/>
        </w:rPr>
      </w:pPr>
      <w:r>
        <w:rPr>
          <w:rFonts w:hint="eastAsia"/>
          <w:color w:val="auto"/>
        </w:rPr>
        <w:t>4、</w:t>
      </w:r>
      <w:r>
        <w:rPr>
          <w:rFonts w:hint="eastAsia" w:ascii="Times New Roman" w:eastAsia="宋体"/>
          <w:color w:val="auto"/>
        </w:rPr>
        <w:t>生产企业应提供符合GB/T 16483要求的产品安全技术说明书，以及满足GB13690要求的适用化学品安全标签和GB15258要求的产品安全标签。</w:t>
      </w:r>
    </w:p>
    <w:p>
      <w:pPr>
        <w:pStyle w:val="12"/>
        <w:numPr>
          <w:ilvl w:val="0"/>
          <w:numId w:val="0"/>
        </w:numPr>
        <w:spacing w:before="156" w:after="156"/>
        <w:ind w:firstLine="420" w:firstLineChars="200"/>
        <w:rPr>
          <w:rFonts w:hint="eastAsia" w:ascii="宋体" w:hAnsi="宋体" w:eastAsia="宋体"/>
          <w:color w:val="auto"/>
        </w:rPr>
      </w:pPr>
      <w:r>
        <w:rPr>
          <w:rFonts w:hint="eastAsia" w:ascii="宋体" w:hAnsi="宋体" w:eastAsia="宋体"/>
          <w:color w:val="auto"/>
        </w:rPr>
        <w:t>5、企业产品包装符合GB/T 13491和GB/T16716.1要求，材质不得含有聚氯乙烯或其他含有有害物质的塑料。</w:t>
      </w:r>
    </w:p>
    <w:p>
      <w:pPr>
        <w:pStyle w:val="10"/>
        <w:rPr>
          <w:rFonts w:hint="eastAsia"/>
          <w:color w:val="auto"/>
        </w:rPr>
      </w:pPr>
      <w:r>
        <w:rPr>
          <w:rFonts w:hint="eastAsia"/>
          <w:color w:val="auto"/>
        </w:rPr>
        <w:t>墙面涂料指标要求见表</w:t>
      </w:r>
      <w:r>
        <w:rPr>
          <w:rFonts w:hint="eastAsia"/>
          <w:color w:val="auto"/>
          <w:lang w:val="en-US" w:eastAsia="zh-CN"/>
        </w:rPr>
        <w:t>10</w:t>
      </w:r>
      <w:r>
        <w:rPr>
          <w:rFonts w:hint="eastAsia"/>
          <w:color w:val="auto"/>
        </w:rPr>
        <w:t>和表</w:t>
      </w:r>
      <w:r>
        <w:rPr>
          <w:rFonts w:hint="eastAsia"/>
          <w:color w:val="auto"/>
          <w:lang w:val="en-US" w:eastAsia="zh-CN"/>
        </w:rPr>
        <w:t>11</w:t>
      </w:r>
      <w:r>
        <w:rPr>
          <w:rFonts w:hint="eastAsia"/>
          <w:color w:val="auto"/>
        </w:rPr>
        <w:t>。</w:t>
      </w:r>
    </w:p>
    <w:p>
      <w:pPr>
        <w:pStyle w:val="9"/>
        <w:numPr>
          <w:ilvl w:val="0"/>
          <w:numId w:val="0"/>
        </w:numPr>
        <w:spacing w:before="156" w:beforeLines="50" w:after="156" w:afterLines="50"/>
        <w:jc w:val="center"/>
        <w:outlineLvl w:val="9"/>
        <w:rPr>
          <w:rFonts w:ascii="Times New Roman"/>
          <w:color w:val="auto"/>
        </w:rPr>
      </w:pPr>
      <w:r>
        <w:rPr>
          <w:rFonts w:hint="eastAsia" w:ascii="Times New Roman"/>
          <w:color w:val="auto"/>
        </w:rPr>
        <w:t>表</w:t>
      </w:r>
      <w:r>
        <w:rPr>
          <w:rFonts w:hint="eastAsia" w:ascii="Times New Roman"/>
          <w:color w:val="auto"/>
          <w:lang w:val="en-US" w:eastAsia="zh-CN"/>
        </w:rPr>
        <w:t>10</w:t>
      </w:r>
      <w:r>
        <w:rPr>
          <w:rFonts w:ascii="Times New Roman"/>
          <w:color w:val="auto"/>
        </w:rPr>
        <w:t xml:space="preserve"> </w:t>
      </w:r>
      <w:r>
        <w:rPr>
          <w:rFonts w:hint="eastAsia" w:ascii="Times New Roman"/>
          <w:color w:val="auto"/>
        </w:rPr>
        <w:t>水性墙面涂料指标要求</w:t>
      </w:r>
    </w:p>
    <w:tbl>
      <w:tblPr>
        <w:tblStyle w:val="5"/>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83"/>
        <w:gridCol w:w="515"/>
        <w:gridCol w:w="102"/>
        <w:gridCol w:w="1439"/>
        <w:gridCol w:w="836"/>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574"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5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1916"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24" w:type="pct"/>
            <w:gridSpan w:val="2"/>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挥发性有机化</w:t>
            </w:r>
          </w:p>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合物含量</w:t>
            </w:r>
          </w:p>
        </w:tc>
        <w:tc>
          <w:tcPr>
            <w:tcW w:w="375" w:type="pct"/>
            <w:gridSpan w:val="2"/>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内墙</w:t>
            </w:r>
          </w:p>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涂料</w:t>
            </w:r>
          </w:p>
        </w:tc>
        <w:tc>
          <w:tcPr>
            <w:tcW w:w="87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60°光泽≤10</w:t>
            </w:r>
          </w:p>
        </w:tc>
        <w:tc>
          <w:tcPr>
            <w:tcW w:w="508"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g/L</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24"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375"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87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60°光泽˃10</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24"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249" w:type="pct"/>
            <w:gridSpan w:val="3"/>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外墙涂料</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24"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249" w:type="pct"/>
            <w:gridSpan w:val="3"/>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腻子</w:t>
            </w:r>
          </w:p>
        </w:tc>
        <w:tc>
          <w:tcPr>
            <w:tcW w:w="508"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74" w:type="pct"/>
            <w:gridSpan w:val="5"/>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甲醛含量（乙酰丙酮法）</w:t>
            </w:r>
          </w:p>
        </w:tc>
        <w:tc>
          <w:tcPr>
            <w:tcW w:w="508"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574" w:type="pct"/>
            <w:gridSpan w:val="5"/>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苯、甲苯、乙苯和二甲苯总和</w:t>
            </w:r>
          </w:p>
        </w:tc>
        <w:tc>
          <w:tcPr>
            <w:tcW w:w="508"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13" w:type="pct"/>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外墙涂料</w:t>
            </w:r>
          </w:p>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外墙腻子</w:t>
            </w: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铅</w:t>
            </w:r>
          </w:p>
        </w:tc>
        <w:tc>
          <w:tcPr>
            <w:tcW w:w="508"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镉</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六价铬</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汞</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13" w:type="pct"/>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内墙涂料</w:t>
            </w:r>
          </w:p>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内墙腻子</w:t>
            </w:r>
          </w:p>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可溶性铅</w:t>
            </w:r>
          </w:p>
        </w:tc>
        <w:tc>
          <w:tcPr>
            <w:tcW w:w="508"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p>
            <w:pPr>
              <w:jc w:val="center"/>
              <w:rPr>
                <w:rFonts w:hint="eastAsia" w:ascii="宋体" w:hAnsi="Times New Roman" w:eastAsia="宋体" w:cs="Times New Roman"/>
                <w:color w:val="auto"/>
                <w:kern w:val="0"/>
                <w:sz w:val="18"/>
                <w:szCs w:val="18"/>
                <w:lang w:val="en-US" w:eastAsia="zh-CN" w:bidi="ar-SA"/>
              </w:rPr>
            </w:pP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可溶性镉</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可溶性铬</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可溶性汞</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13" w:type="pct"/>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耐人工气候</w:t>
            </w:r>
          </w:p>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老化性</w:t>
            </w:r>
          </w:p>
        </w:tc>
        <w:tc>
          <w:tcPr>
            <w:tcW w:w="424"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老化时间</w:t>
            </w:r>
          </w:p>
        </w:tc>
        <w:tc>
          <w:tcPr>
            <w:tcW w:w="936"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水性多彩</w:t>
            </w:r>
          </w:p>
        </w:tc>
        <w:tc>
          <w:tcPr>
            <w:tcW w:w="508"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h</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424"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936" w:type="pct"/>
            <w:gridSpan w:val="2"/>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水性氟涂料</w:t>
            </w:r>
          </w:p>
        </w:tc>
        <w:tc>
          <w:tcPr>
            <w:tcW w:w="508" w:type="pct"/>
            <w:vMerge w:val="continue"/>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424"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936" w:type="pct"/>
            <w:gridSpan w:val="2"/>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其他</w:t>
            </w:r>
          </w:p>
        </w:tc>
        <w:tc>
          <w:tcPr>
            <w:tcW w:w="508" w:type="pct"/>
            <w:vMerge w:val="continue"/>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外观</w:t>
            </w:r>
          </w:p>
        </w:tc>
        <w:tc>
          <w:tcPr>
            <w:tcW w:w="508"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不起泡、不剥落、无裂纹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424"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粉化</w:t>
            </w:r>
          </w:p>
        </w:tc>
        <w:tc>
          <w:tcPr>
            <w:tcW w:w="936"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平涂</w:t>
            </w:r>
          </w:p>
        </w:tc>
        <w:tc>
          <w:tcPr>
            <w:tcW w:w="508"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级</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424"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936"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质感</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424"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变色</w:t>
            </w:r>
          </w:p>
        </w:tc>
        <w:tc>
          <w:tcPr>
            <w:tcW w:w="936"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平涂</w:t>
            </w:r>
          </w:p>
        </w:tc>
        <w:tc>
          <w:tcPr>
            <w:tcW w:w="508"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级</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424"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936"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质感</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13" w:type="pct"/>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耐沾污性</w:t>
            </w:r>
          </w:p>
        </w:tc>
        <w:tc>
          <w:tcPr>
            <w:tcW w:w="424"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平涂</w:t>
            </w:r>
          </w:p>
        </w:tc>
        <w:tc>
          <w:tcPr>
            <w:tcW w:w="936"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弹性涂料</w:t>
            </w:r>
          </w:p>
        </w:tc>
        <w:tc>
          <w:tcPr>
            <w:tcW w:w="508"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 xml:space="preserve"> &lt;25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424" w:type="pct"/>
            <w:gridSpan w:val="2"/>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936"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其他</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粗糙表面</w:t>
            </w:r>
          </w:p>
        </w:tc>
        <w:tc>
          <w:tcPr>
            <w:tcW w:w="508"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级</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13" w:type="pct"/>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耐洗刷性</w:t>
            </w:r>
          </w:p>
        </w:tc>
        <w:tc>
          <w:tcPr>
            <w:tcW w:w="1360" w:type="pct"/>
            <w:gridSpan w:val="4"/>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内墙涂料</w:t>
            </w:r>
          </w:p>
        </w:tc>
        <w:tc>
          <w:tcPr>
            <w:tcW w:w="508"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次</w:t>
            </w:r>
          </w:p>
        </w:tc>
        <w:tc>
          <w:tcPr>
            <w:tcW w:w="1916"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213"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0" w:type="pct"/>
            <w:gridSpan w:val="4"/>
            <w:tcBorders>
              <w:top w:val="single" w:color="auto" w:sz="4" w:space="0"/>
              <w:left w:val="single" w:color="auto" w:sz="4" w:space="0"/>
              <w:bottom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外墙涂料</w:t>
            </w:r>
          </w:p>
        </w:tc>
        <w:tc>
          <w:tcPr>
            <w:tcW w:w="50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916"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00" w:type="pct"/>
            <w:gridSpan w:val="7"/>
            <w:tcBorders>
              <w:left w:val="single" w:color="auto" w:sz="4" w:space="0"/>
              <w:right w:val="single" w:color="auto" w:sz="4" w:space="0"/>
            </w:tcBorders>
            <w:noWrap/>
            <w:vAlign w:val="center"/>
          </w:tcPr>
          <w:p>
            <w:pPr>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注：</w:t>
            </w:r>
          </w:p>
          <w:p>
            <w:pPr>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1.耐沾污性指标适用于外墙水性涂料；</w:t>
            </w:r>
          </w:p>
          <w:p>
            <w:pPr>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2.变色指标仅针对白色和浅色，浅色是指以白色涂料为主，添加适量颜料后配制的涂料形成的涂膜所呈现的浅颜色，按GB/T 15608的规定，明度值为6~9（三刺激值中的YD65≥31.26）,其他颜色涂料的变色指标商定。</w:t>
            </w:r>
          </w:p>
          <w:p>
            <w:pPr>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3.耐洗刷性指标适用于平涂面漆，且不含弹性产品。</w:t>
            </w:r>
          </w:p>
        </w:tc>
      </w:tr>
    </w:tbl>
    <w:p>
      <w:pPr>
        <w:pStyle w:val="9"/>
        <w:numPr>
          <w:ilvl w:val="0"/>
          <w:numId w:val="0"/>
        </w:numPr>
        <w:spacing w:before="156" w:beforeLines="50" w:after="156" w:afterLines="50"/>
        <w:jc w:val="center"/>
        <w:outlineLvl w:val="9"/>
        <w:rPr>
          <w:rFonts w:hint="eastAsia" w:ascii="宋体" w:hAnsi="Times New Roman" w:eastAsia="宋体" w:cs="Times New Roman"/>
          <w:color w:val="auto"/>
          <w:kern w:val="0"/>
          <w:sz w:val="18"/>
          <w:szCs w:val="18"/>
          <w:lang w:val="en-US" w:eastAsia="zh-CN" w:bidi="ar-SA"/>
        </w:rPr>
      </w:pPr>
    </w:p>
    <w:p>
      <w:pPr>
        <w:pStyle w:val="9"/>
        <w:numPr>
          <w:ilvl w:val="0"/>
          <w:numId w:val="0"/>
        </w:numPr>
        <w:spacing w:before="156" w:beforeLines="50" w:after="156" w:afterLines="50"/>
        <w:jc w:val="center"/>
        <w:outlineLvl w:val="9"/>
        <w:rPr>
          <w:rFonts w:hint="eastAsia" w:ascii="Times New Roman"/>
          <w:color w:val="auto"/>
          <w:szCs w:val="22"/>
          <w:lang w:val="en-US" w:eastAsia="zh-CN"/>
        </w:rPr>
      </w:pPr>
      <w:r>
        <w:rPr>
          <w:rFonts w:hint="eastAsia" w:ascii="Times New Roman"/>
          <w:color w:val="auto"/>
          <w:szCs w:val="22"/>
          <w:lang w:val="en-US" w:eastAsia="zh-CN"/>
        </w:rPr>
        <w:t>表11 无机干粉涂覆材料指标要求</w:t>
      </w:r>
    </w:p>
    <w:tbl>
      <w:tblPr>
        <w:tblStyle w:val="5"/>
        <w:tblW w:w="48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236"/>
        <w:gridCol w:w="838"/>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指标</w:t>
            </w:r>
          </w:p>
        </w:tc>
        <w:tc>
          <w:tcPr>
            <w:tcW w:w="5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单位</w:t>
            </w:r>
          </w:p>
        </w:tc>
        <w:tc>
          <w:tcPr>
            <w:tcW w:w="1685"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802"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挥发性有机化合物含量</w:t>
            </w:r>
          </w:p>
        </w:tc>
        <w:tc>
          <w:tcPr>
            <w:tcW w:w="511"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g/kg</w:t>
            </w:r>
          </w:p>
        </w:tc>
        <w:tc>
          <w:tcPr>
            <w:tcW w:w="1685"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2"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游离甲醛含量</w:t>
            </w:r>
          </w:p>
        </w:tc>
        <w:tc>
          <w:tcPr>
            <w:tcW w:w="511"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1685"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2"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苯、甲苯、乙苯和二甲苯总和</w:t>
            </w:r>
          </w:p>
        </w:tc>
        <w:tc>
          <w:tcPr>
            <w:tcW w:w="511"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1685"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38" w:type="pct"/>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重金属含量</w:t>
            </w: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铅</w:t>
            </w:r>
          </w:p>
        </w:tc>
        <w:tc>
          <w:tcPr>
            <w:tcW w:w="511"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mg/kg</w:t>
            </w:r>
          </w:p>
        </w:tc>
        <w:tc>
          <w:tcPr>
            <w:tcW w:w="1685"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3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镉</w:t>
            </w:r>
          </w:p>
        </w:tc>
        <w:tc>
          <w:tcPr>
            <w:tcW w:w="511"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685"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3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六价铬</w:t>
            </w:r>
          </w:p>
        </w:tc>
        <w:tc>
          <w:tcPr>
            <w:tcW w:w="511"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685"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3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汞</w:t>
            </w:r>
          </w:p>
        </w:tc>
        <w:tc>
          <w:tcPr>
            <w:tcW w:w="511"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685"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8" w:type="pct"/>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放射性</w:t>
            </w: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内照射指数</w:t>
            </w:r>
          </w:p>
        </w:tc>
        <w:tc>
          <w:tcPr>
            <w:tcW w:w="511" w:type="pct"/>
            <w:vMerge w:val="restar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1685"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外照射指数</w:t>
            </w:r>
          </w:p>
        </w:tc>
        <w:tc>
          <w:tcPr>
            <w:tcW w:w="511"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685" w:type="pct"/>
            <w:tcBorders>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8" w:type="pct"/>
            <w:vMerge w:val="restar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耐人工加速</w:t>
            </w:r>
          </w:p>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老化性</w:t>
            </w: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老化时间</w:t>
            </w:r>
          </w:p>
        </w:tc>
        <w:tc>
          <w:tcPr>
            <w:tcW w:w="511"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h</w:t>
            </w:r>
          </w:p>
        </w:tc>
        <w:tc>
          <w:tcPr>
            <w:tcW w:w="1685" w:type="pct"/>
            <w:tcBorders>
              <w:top w:val="single" w:color="auto" w:sz="4" w:space="0"/>
              <w:left w:val="single" w:color="auto" w:sz="4" w:space="0"/>
              <w:right w:val="single" w:color="auto" w:sz="4" w:space="0"/>
            </w:tcBorders>
            <w:noWrap/>
            <w:vAlign w:val="center"/>
          </w:tcPr>
          <w:p>
            <w:pPr>
              <w:widowControl/>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外观</w:t>
            </w:r>
          </w:p>
        </w:tc>
        <w:tc>
          <w:tcPr>
            <w:tcW w:w="511"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1685"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不起泡、不剥落、无裂纹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粉化</w:t>
            </w:r>
          </w:p>
        </w:tc>
        <w:tc>
          <w:tcPr>
            <w:tcW w:w="511"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级</w:t>
            </w:r>
          </w:p>
        </w:tc>
        <w:tc>
          <w:tcPr>
            <w:tcW w:w="1685"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8" w:type="pct"/>
            <w:vMerge w:val="continue"/>
            <w:tcBorders>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p>
        </w:tc>
        <w:tc>
          <w:tcPr>
            <w:tcW w:w="1364" w:type="pct"/>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变色</w:t>
            </w:r>
          </w:p>
        </w:tc>
        <w:tc>
          <w:tcPr>
            <w:tcW w:w="511"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级</w:t>
            </w:r>
          </w:p>
        </w:tc>
        <w:tc>
          <w:tcPr>
            <w:tcW w:w="1685"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2" w:type="pct"/>
            <w:gridSpan w:val="2"/>
            <w:tcBorders>
              <w:top w:val="single" w:color="auto" w:sz="4" w:space="0"/>
              <w:left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耐沾污性</w:t>
            </w:r>
          </w:p>
        </w:tc>
        <w:tc>
          <w:tcPr>
            <w:tcW w:w="511" w:type="pct"/>
            <w:tcBorders>
              <w:top w:val="single" w:color="auto" w:sz="4" w:space="0"/>
              <w:left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w:t>
            </w:r>
          </w:p>
        </w:tc>
        <w:tc>
          <w:tcPr>
            <w:tcW w:w="1685" w:type="pct"/>
            <w:tcBorders>
              <w:top w:val="single" w:color="auto" w:sz="4" w:space="0"/>
              <w:left w:val="single" w:color="auto" w:sz="4" w:space="0"/>
              <w:right w:val="single" w:color="auto" w:sz="4" w:space="0"/>
            </w:tcBorders>
            <w:noWrap/>
            <w:vAlign w:val="center"/>
          </w:tcPr>
          <w:p>
            <w:pPr>
              <w:ind w:firstLine="1080" w:firstLineChars="600"/>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2" w:type="pct"/>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耐洗刷性</w:t>
            </w:r>
          </w:p>
        </w:tc>
        <w:tc>
          <w:tcPr>
            <w:tcW w:w="5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次</w:t>
            </w:r>
          </w:p>
        </w:tc>
        <w:tc>
          <w:tcPr>
            <w:tcW w:w="16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000" w:type="pct"/>
            <w:gridSpan w:val="4"/>
            <w:tcBorders>
              <w:top w:val="single" w:color="auto" w:sz="4" w:space="0"/>
              <w:left w:val="single" w:color="auto" w:sz="4" w:space="0"/>
              <w:right w:val="single" w:color="auto" w:sz="4" w:space="0"/>
            </w:tcBorders>
            <w:noWrap/>
            <w:vAlign w:val="center"/>
          </w:tcPr>
          <w:p>
            <w:pPr>
              <w:ind w:left="360" w:hanging="360" w:hangingChars="200"/>
              <w:jc w:val="left"/>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注：1.变色指标仅针对白色和浅色，浅色是指以白色涂料为主，添加适量颜料后配制的涂料形成的涂膜所呈现的浅颜色，按GB/T 15608的规定，明度值为6~9（三刺激值中的YD65≥31.26）,其他颜色涂料的变色指标商定。</w:t>
            </w:r>
          </w:p>
          <w:p>
            <w:pPr>
              <w:ind w:firstLine="360" w:firstLineChars="200"/>
              <w:rPr>
                <w:rFonts w:hint="eastAsia" w:ascii="宋体" w:hAnsi="Times New Roman" w:eastAsia="宋体" w:cs="Times New Roman"/>
                <w:color w:val="auto"/>
                <w:kern w:val="0"/>
                <w:sz w:val="18"/>
                <w:szCs w:val="18"/>
                <w:lang w:val="en-US" w:eastAsia="zh-CN" w:bidi="ar-SA"/>
              </w:rPr>
            </w:pPr>
            <w:r>
              <w:rPr>
                <w:rFonts w:hint="eastAsia" w:ascii="宋体" w:hAnsi="Times New Roman" w:eastAsia="宋体" w:cs="Times New Roman"/>
                <w:color w:val="auto"/>
                <w:kern w:val="0"/>
                <w:sz w:val="18"/>
                <w:szCs w:val="18"/>
                <w:lang w:val="en-US" w:eastAsia="zh-CN" w:bidi="ar-SA"/>
              </w:rPr>
              <w:t>2.耐沾污性指标适用于外墙用无机粉体材料。</w:t>
            </w:r>
          </w:p>
        </w:tc>
      </w:tr>
    </w:tbl>
    <w:p>
      <w:pPr>
        <w:pStyle w:val="12"/>
        <w:numPr>
          <w:ilvl w:val="0"/>
          <w:numId w:val="0"/>
        </w:numPr>
        <w:spacing w:before="156" w:after="156"/>
        <w:rPr>
          <w:rFonts w:hint="eastAsia" w:ascii="宋体" w:hAnsi="宋体" w:eastAsia="宋体"/>
          <w:color w:val="auto"/>
        </w:rPr>
      </w:pPr>
      <w:r>
        <w:rPr>
          <w:rFonts w:hint="eastAsia" w:ascii="宋体" w:hAnsi="宋体" w:eastAsia="宋体"/>
          <w:color w:val="auto"/>
        </w:rPr>
        <w:t>注：申报单位提供上述要求的相关证明文件。</w:t>
      </w:r>
    </w:p>
    <w:p>
      <w:pPr>
        <w:pStyle w:val="10"/>
        <w:spacing w:before="312" w:beforeLines="100"/>
        <w:ind w:left="0" w:leftChars="0" w:firstLine="0" w:firstLineChars="0"/>
        <w:rPr>
          <w:rFonts w:hint="eastAsia" w:hAnsi="宋体"/>
          <w:b/>
          <w:bCs w:val="0"/>
          <w:color w:val="auto"/>
        </w:rPr>
      </w:pPr>
      <w:r>
        <w:rPr>
          <w:rFonts w:hint="eastAsia" w:hAnsi="宋体"/>
          <w:b/>
          <w:bCs w:val="0"/>
          <w:color w:val="auto"/>
        </w:rPr>
        <w:t>（</w:t>
      </w:r>
      <w:r>
        <w:rPr>
          <w:rFonts w:hint="eastAsia" w:hAnsi="宋体"/>
          <w:b/>
          <w:bCs w:val="0"/>
          <w:color w:val="auto"/>
          <w:lang w:eastAsia="zh-CN"/>
        </w:rPr>
        <w:t>六</w:t>
      </w:r>
      <w:r>
        <w:rPr>
          <w:rFonts w:hint="eastAsia" w:hAnsi="宋体"/>
          <w:b/>
          <w:bCs w:val="0"/>
          <w:color w:val="auto"/>
        </w:rPr>
        <w:t>）</w:t>
      </w:r>
      <w:r>
        <w:rPr>
          <w:rFonts w:hint="eastAsia"/>
          <w:b/>
          <w:bCs w:val="0"/>
          <w:color w:val="auto"/>
          <w:lang w:val="en-US" w:eastAsia="zh-CN"/>
        </w:rPr>
        <w:t>预拌砂浆</w:t>
      </w:r>
    </w:p>
    <w:p>
      <w:pPr>
        <w:pStyle w:val="10"/>
        <w:rPr>
          <w:rFonts w:hint="eastAsia"/>
          <w:color w:val="auto"/>
          <w:lang w:val="en-US" w:eastAsia="zh-CN"/>
        </w:rPr>
      </w:pPr>
      <w:r>
        <w:rPr>
          <w:rFonts w:hint="eastAsia"/>
          <w:color w:val="auto"/>
          <w:lang w:val="en-US" w:eastAsia="zh-CN"/>
        </w:rPr>
        <w:t>1、具有独立的生产车间（不允许委托加工），厂区面积不小于3000m2，年生产能力不小于20万吨；</w:t>
      </w:r>
    </w:p>
    <w:p>
      <w:pPr>
        <w:pStyle w:val="10"/>
        <w:rPr>
          <w:rFonts w:hint="eastAsia"/>
          <w:color w:val="auto"/>
          <w:lang w:val="en-US" w:eastAsia="zh-CN"/>
        </w:rPr>
      </w:pPr>
      <w:r>
        <w:rPr>
          <w:rFonts w:hint="eastAsia"/>
          <w:color w:val="auto"/>
          <w:lang w:val="en-US" w:eastAsia="zh-CN"/>
        </w:rPr>
        <w:t>2、生产采用立式干粉砂浆搅拌罐，灌装采用电子计重的叶轮式（气动式）阀口自动灌装机；</w:t>
      </w:r>
    </w:p>
    <w:p>
      <w:pPr>
        <w:pStyle w:val="10"/>
        <w:rPr>
          <w:rFonts w:hint="eastAsia"/>
          <w:color w:val="auto"/>
          <w:lang w:val="en-US" w:eastAsia="zh-CN"/>
        </w:rPr>
      </w:pPr>
      <w:r>
        <w:rPr>
          <w:rFonts w:hint="eastAsia"/>
          <w:color w:val="auto"/>
          <w:lang w:val="en-US" w:eastAsia="zh-CN"/>
        </w:rPr>
        <w:t>3、包装采用外阀口式自动罐装干粉砂浆包装物，并标明产品名称、企业名称、规格型号等信息；产品运至施工现场应出具合格证；</w:t>
      </w:r>
    </w:p>
    <w:p>
      <w:pPr>
        <w:pStyle w:val="10"/>
        <w:rPr>
          <w:rFonts w:hint="eastAsia"/>
          <w:color w:val="auto"/>
          <w:lang w:val="en-US" w:eastAsia="zh-CN"/>
        </w:rPr>
      </w:pPr>
      <w:r>
        <w:rPr>
          <w:rFonts w:hint="eastAsia"/>
          <w:color w:val="auto"/>
          <w:lang w:val="en-US" w:eastAsia="zh-CN"/>
        </w:rPr>
        <w:t>4、 有自营或者长期合作的车队的运输车队，满足运输半径要求；</w:t>
      </w:r>
    </w:p>
    <w:p>
      <w:pPr>
        <w:pStyle w:val="10"/>
        <w:rPr>
          <w:rFonts w:hint="eastAsia"/>
          <w:color w:val="auto"/>
          <w:lang w:val="en-US" w:eastAsia="zh-CN"/>
        </w:rPr>
      </w:pPr>
      <w:r>
        <w:rPr>
          <w:rFonts w:hint="eastAsia"/>
          <w:color w:val="auto"/>
          <w:lang w:eastAsia="zh-CN"/>
        </w:rPr>
        <w:t>预拌砂浆</w:t>
      </w:r>
      <w:r>
        <w:rPr>
          <w:rFonts w:hint="eastAsia"/>
          <w:color w:val="auto"/>
        </w:rPr>
        <w:t>指标要求见表</w:t>
      </w:r>
      <w:r>
        <w:rPr>
          <w:rFonts w:hint="eastAsia"/>
          <w:color w:val="auto"/>
          <w:lang w:val="en-US" w:eastAsia="zh-CN"/>
        </w:rPr>
        <w:t>12</w:t>
      </w:r>
    </w:p>
    <w:p>
      <w:pPr>
        <w:pStyle w:val="9"/>
        <w:numPr>
          <w:ilvl w:val="0"/>
          <w:numId w:val="0"/>
        </w:numPr>
        <w:spacing w:beforeLines="0" w:afterLines="0"/>
        <w:jc w:val="center"/>
        <w:outlineLvl w:val="9"/>
        <w:rPr>
          <w:rFonts w:hint="eastAsia" w:ascii="Times New Roman"/>
          <w:color w:val="auto"/>
          <w:szCs w:val="22"/>
          <w:lang w:val="en-US" w:eastAsia="zh-CN"/>
        </w:rPr>
      </w:pPr>
    </w:p>
    <w:p>
      <w:pPr>
        <w:pStyle w:val="9"/>
        <w:numPr>
          <w:ilvl w:val="0"/>
          <w:numId w:val="0"/>
        </w:numPr>
        <w:spacing w:beforeLines="0" w:afterLines="0"/>
        <w:jc w:val="center"/>
        <w:outlineLvl w:val="9"/>
        <w:rPr>
          <w:rFonts w:hint="default" w:ascii="Times New Roman"/>
          <w:color w:val="auto"/>
          <w:szCs w:val="22"/>
          <w:lang w:val="en-US" w:eastAsia="zh-CN"/>
        </w:rPr>
      </w:pPr>
      <w:r>
        <w:rPr>
          <w:rFonts w:hint="eastAsia" w:ascii="Times New Roman"/>
          <w:color w:val="auto"/>
          <w:szCs w:val="22"/>
          <w:lang w:val="en-US" w:eastAsia="zh-CN"/>
        </w:rPr>
        <w:t>表12预拌砂浆指标要求</w:t>
      </w:r>
    </w:p>
    <w:tbl>
      <w:tblPr>
        <w:tblStyle w:val="5"/>
        <w:tblpPr w:leftFromText="180" w:rightFromText="180" w:vertAnchor="text" w:horzAnchor="page" w:tblpX="1945" w:tblpY="341"/>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024"/>
        <w:gridCol w:w="353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序号</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项目</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要求</w:t>
            </w:r>
          </w:p>
        </w:tc>
        <w:tc>
          <w:tcPr>
            <w:tcW w:w="1706" w:type="dxa"/>
            <w:vAlign w:val="center"/>
          </w:tcPr>
          <w:p>
            <w:pPr>
              <w:pStyle w:val="10"/>
              <w:jc w:val="left"/>
              <w:rPr>
                <w:rFonts w:hint="eastAsia"/>
                <w:color w:val="auto"/>
                <w:sz w:val="18"/>
                <w:szCs w:val="18"/>
                <w:lang w:val="en-US" w:eastAsia="zh-CN"/>
              </w:rPr>
            </w:pPr>
            <w:r>
              <w:rPr>
                <w:rFonts w:hint="eastAsia"/>
                <w:color w:val="auto"/>
                <w:sz w:val="18"/>
                <w:szCs w:val="18"/>
                <w:lang w:val="en-US" w:eastAsia="zh-CN"/>
              </w:rPr>
              <w:t>应提供的材料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1</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大气污染排放物</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《大气污染物综合排放标准》GB16297，三级；或满足地方排放标准的最低要求</w:t>
            </w:r>
          </w:p>
        </w:tc>
        <w:tc>
          <w:tcPr>
            <w:tcW w:w="1706" w:type="dxa"/>
            <w:vAlign w:val="center"/>
          </w:tcPr>
          <w:p>
            <w:pPr>
              <w:pStyle w:val="10"/>
              <w:jc w:val="left"/>
              <w:rPr>
                <w:rFonts w:hint="eastAsia"/>
                <w:color w:val="auto"/>
                <w:sz w:val="18"/>
                <w:szCs w:val="18"/>
                <w:lang w:val="en-US" w:eastAsia="zh-CN"/>
              </w:rPr>
            </w:pPr>
            <w:r>
              <w:rPr>
                <w:rFonts w:hint="eastAsia"/>
                <w:color w:val="auto"/>
                <w:sz w:val="18"/>
                <w:szCs w:val="18"/>
                <w:lang w:val="en-US" w:eastAsia="zh-CN"/>
              </w:rPr>
              <w:t>近一年的第三方环境监测报告复印件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2</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污水排放</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《污水综合排放标准》GB8978</w:t>
            </w:r>
          </w:p>
        </w:tc>
        <w:tc>
          <w:tcPr>
            <w:tcW w:w="1706" w:type="dxa"/>
            <w:vAlign w:val="center"/>
          </w:tcPr>
          <w:p>
            <w:pPr>
              <w:pStyle w:val="10"/>
              <w:jc w:val="left"/>
              <w:rPr>
                <w:rFonts w:hint="eastAsia"/>
                <w:color w:val="auto"/>
                <w:sz w:val="18"/>
                <w:szCs w:val="18"/>
                <w:lang w:val="en-US" w:eastAsia="zh-CN"/>
              </w:rPr>
            </w:pPr>
            <w:r>
              <w:rPr>
                <w:rFonts w:hint="eastAsia"/>
                <w:color w:val="auto"/>
                <w:sz w:val="18"/>
                <w:szCs w:val="18"/>
                <w:lang w:val="en-US" w:eastAsia="zh-CN"/>
              </w:rPr>
              <w:t>近一年的第三方环境监测报告复印件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3</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噪声排放</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《工业企业厂界环境噪声排放标准》GB12348</w:t>
            </w:r>
          </w:p>
        </w:tc>
        <w:tc>
          <w:tcPr>
            <w:tcW w:w="1706" w:type="dxa"/>
            <w:vAlign w:val="center"/>
          </w:tcPr>
          <w:p>
            <w:pPr>
              <w:pStyle w:val="10"/>
              <w:jc w:val="left"/>
              <w:rPr>
                <w:rFonts w:hint="eastAsia"/>
                <w:color w:val="auto"/>
                <w:sz w:val="18"/>
                <w:szCs w:val="18"/>
                <w:lang w:val="en-US" w:eastAsia="zh-CN"/>
              </w:rPr>
            </w:pPr>
            <w:r>
              <w:rPr>
                <w:rFonts w:hint="eastAsia"/>
                <w:color w:val="auto"/>
                <w:sz w:val="18"/>
                <w:szCs w:val="18"/>
                <w:lang w:val="en-US" w:eastAsia="zh-CN"/>
              </w:rPr>
              <w:t>近一年的第三方环境监测报告复印件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00" w:type="dxa"/>
            <w:vAlign w:val="center"/>
          </w:tcPr>
          <w:p>
            <w:pPr>
              <w:pStyle w:val="10"/>
              <w:ind w:firstLine="0" w:firstLineChars="0"/>
              <w:jc w:val="center"/>
              <w:rPr>
                <w:rFonts w:hint="eastAsia"/>
                <w:color w:val="auto"/>
                <w:sz w:val="18"/>
                <w:szCs w:val="18"/>
                <w:lang w:val="en-US" w:eastAsia="zh-CN"/>
              </w:rPr>
            </w:pPr>
            <w:r>
              <w:rPr>
                <w:rFonts w:hint="eastAsia"/>
                <w:color w:val="auto"/>
                <w:sz w:val="18"/>
                <w:szCs w:val="18"/>
                <w:lang w:val="en-US" w:eastAsia="zh-CN"/>
              </w:rPr>
              <w:t>4</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工作场所环境</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《工作场所有害因素职业接触限值 化学有害因素》GBZ 2.1</w:t>
            </w:r>
          </w:p>
          <w:p>
            <w:pPr>
              <w:pStyle w:val="10"/>
              <w:rPr>
                <w:rFonts w:hint="eastAsia"/>
                <w:color w:val="auto"/>
                <w:sz w:val="18"/>
                <w:szCs w:val="18"/>
                <w:lang w:val="en-US" w:eastAsia="zh-CN"/>
              </w:rPr>
            </w:pPr>
            <w:r>
              <w:rPr>
                <w:rFonts w:hint="eastAsia"/>
                <w:color w:val="auto"/>
                <w:sz w:val="18"/>
                <w:szCs w:val="18"/>
                <w:lang w:val="en-US" w:eastAsia="zh-CN"/>
              </w:rPr>
              <w:t>《工作场所有害因素职业接触限值 物理有害因素》GBZ 2.2</w:t>
            </w:r>
          </w:p>
        </w:tc>
        <w:tc>
          <w:tcPr>
            <w:tcW w:w="1706" w:type="dxa"/>
            <w:vAlign w:val="center"/>
          </w:tcPr>
          <w:p>
            <w:pPr>
              <w:pStyle w:val="10"/>
              <w:jc w:val="left"/>
              <w:rPr>
                <w:rFonts w:hint="eastAsia"/>
                <w:color w:val="auto"/>
                <w:sz w:val="18"/>
                <w:szCs w:val="18"/>
                <w:lang w:val="en-US" w:eastAsia="zh-CN"/>
              </w:rPr>
            </w:pPr>
            <w:r>
              <w:rPr>
                <w:rFonts w:hint="eastAsia"/>
                <w:color w:val="auto"/>
                <w:sz w:val="18"/>
                <w:szCs w:val="18"/>
                <w:lang w:val="en-US" w:eastAsia="zh-CN"/>
              </w:rPr>
              <w:t>近一年的第三方环境监测报告复印件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5</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安全生产</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《企业安全生产标准化基本规范》AQ/T9006，三级</w:t>
            </w:r>
          </w:p>
        </w:tc>
        <w:tc>
          <w:tcPr>
            <w:tcW w:w="1706" w:type="dxa"/>
            <w:vAlign w:val="center"/>
          </w:tcPr>
          <w:p>
            <w:pPr>
              <w:pStyle w:val="10"/>
              <w:jc w:val="left"/>
              <w:rPr>
                <w:rFonts w:hint="eastAsia"/>
                <w:color w:val="auto"/>
                <w:sz w:val="18"/>
                <w:szCs w:val="18"/>
                <w:lang w:val="en-US" w:eastAsia="zh-CN"/>
              </w:rPr>
            </w:pPr>
            <w:r>
              <w:rPr>
                <w:rFonts w:hint="eastAsia"/>
                <w:color w:val="auto"/>
                <w:sz w:val="18"/>
                <w:szCs w:val="18"/>
                <w:lang w:val="en-US" w:eastAsia="zh-CN"/>
              </w:rPr>
              <w:t>有效期内的生产标准化证书复印件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6</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管理体系</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完备的质量、环境和职业健康安全管理体系</w:t>
            </w:r>
          </w:p>
        </w:tc>
        <w:tc>
          <w:tcPr>
            <w:tcW w:w="1706" w:type="dxa"/>
            <w:vAlign w:val="center"/>
          </w:tcPr>
          <w:p>
            <w:pPr>
              <w:pStyle w:val="10"/>
              <w:rPr>
                <w:rFonts w:hint="eastAsia"/>
                <w:color w:val="auto"/>
                <w:sz w:val="18"/>
                <w:szCs w:val="18"/>
                <w:lang w:val="en-US" w:eastAsia="zh-CN"/>
              </w:rPr>
            </w:pPr>
            <w:r>
              <w:rPr>
                <w:rFonts w:hint="eastAsia"/>
                <w:color w:val="auto"/>
                <w:sz w:val="18"/>
                <w:szCs w:val="18"/>
                <w:lang w:val="en-US" w:eastAsia="zh-CN"/>
              </w:rPr>
              <w:t>有效期内的管理体系认证证书复印件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7</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全过程管理</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设备设施选配等全过程管理应满足当地预拌砂浆绿色（清洁化）生产管理的相关规定。</w:t>
            </w:r>
          </w:p>
        </w:tc>
        <w:tc>
          <w:tcPr>
            <w:tcW w:w="1706" w:type="dxa"/>
            <w:vAlign w:val="center"/>
          </w:tcPr>
          <w:p>
            <w:pPr>
              <w:pStyle w:val="10"/>
              <w:rPr>
                <w:rFonts w:hint="eastAsia"/>
                <w:color w:val="auto"/>
                <w:sz w:val="18"/>
                <w:szCs w:val="18"/>
                <w:lang w:val="en-US" w:eastAsia="zh-CN"/>
              </w:rPr>
            </w:pPr>
            <w:r>
              <w:rPr>
                <w:rFonts w:hint="eastAsia"/>
                <w:color w:val="auto"/>
                <w:sz w:val="18"/>
                <w:szCs w:val="18"/>
                <w:lang w:val="en-US" w:eastAsia="zh-CN"/>
              </w:rPr>
              <w:t>除尘设备清单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8</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应用技术文件</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生产企业具备详细、可行的应用技术文件</w:t>
            </w:r>
          </w:p>
        </w:tc>
        <w:tc>
          <w:tcPr>
            <w:tcW w:w="1706" w:type="dxa"/>
            <w:vAlign w:val="center"/>
          </w:tcPr>
          <w:p>
            <w:pPr>
              <w:pStyle w:val="10"/>
              <w:rPr>
                <w:rFonts w:hint="eastAsia"/>
                <w:color w:val="auto"/>
                <w:sz w:val="18"/>
                <w:szCs w:val="18"/>
                <w:lang w:val="en-US" w:eastAsia="zh-CN"/>
              </w:rPr>
            </w:pPr>
            <w:r>
              <w:rPr>
                <w:rFonts w:hint="eastAsia"/>
                <w:color w:val="auto"/>
                <w:sz w:val="18"/>
                <w:szCs w:val="18"/>
                <w:lang w:val="en-US" w:eastAsia="zh-CN"/>
              </w:rPr>
              <w:t>产品生产使用报告（包括产品介绍、生产控制和工程应用等）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00" w:type="dxa"/>
            <w:vAlign w:val="center"/>
          </w:tcPr>
          <w:p>
            <w:pPr>
              <w:pStyle w:val="10"/>
              <w:rPr>
                <w:rFonts w:hint="eastAsia"/>
                <w:color w:val="auto"/>
                <w:sz w:val="18"/>
                <w:szCs w:val="18"/>
                <w:lang w:val="en-US" w:eastAsia="zh-CN"/>
              </w:rPr>
            </w:pPr>
            <w:r>
              <w:rPr>
                <w:rFonts w:hint="eastAsia"/>
                <w:color w:val="auto"/>
                <w:sz w:val="18"/>
                <w:szCs w:val="18"/>
                <w:lang w:val="en-US" w:eastAsia="zh-CN"/>
              </w:rPr>
              <w:t>9</w:t>
            </w:r>
          </w:p>
        </w:tc>
        <w:tc>
          <w:tcPr>
            <w:tcW w:w="2160" w:type="dxa"/>
            <w:vAlign w:val="center"/>
          </w:tcPr>
          <w:p>
            <w:pPr>
              <w:pStyle w:val="10"/>
              <w:rPr>
                <w:rFonts w:hint="eastAsia"/>
                <w:color w:val="auto"/>
                <w:sz w:val="18"/>
                <w:szCs w:val="18"/>
                <w:lang w:val="en-US" w:eastAsia="zh-CN"/>
              </w:rPr>
            </w:pPr>
            <w:r>
              <w:rPr>
                <w:rFonts w:hint="eastAsia"/>
                <w:color w:val="auto"/>
                <w:sz w:val="18"/>
                <w:szCs w:val="18"/>
                <w:lang w:val="en-US" w:eastAsia="zh-CN"/>
              </w:rPr>
              <w:t>产品性能</w:t>
            </w:r>
          </w:p>
        </w:tc>
        <w:tc>
          <w:tcPr>
            <w:tcW w:w="3854" w:type="dxa"/>
            <w:vAlign w:val="center"/>
          </w:tcPr>
          <w:p>
            <w:pPr>
              <w:pStyle w:val="10"/>
              <w:rPr>
                <w:rFonts w:hint="eastAsia"/>
                <w:color w:val="auto"/>
                <w:sz w:val="18"/>
                <w:szCs w:val="18"/>
                <w:lang w:val="en-US" w:eastAsia="zh-CN"/>
              </w:rPr>
            </w:pPr>
            <w:r>
              <w:rPr>
                <w:rFonts w:hint="eastAsia"/>
                <w:color w:val="auto"/>
                <w:sz w:val="18"/>
                <w:szCs w:val="18"/>
                <w:lang w:val="en-US" w:eastAsia="zh-CN"/>
              </w:rPr>
              <w:t>普通砂浆的性能应满足现行国家标准《预拌砂浆》GB/T 25181的要求,其他预拌砂浆的性能应符合国家现行有关标准的规定。</w:t>
            </w:r>
          </w:p>
        </w:tc>
        <w:tc>
          <w:tcPr>
            <w:tcW w:w="1706" w:type="dxa"/>
            <w:vAlign w:val="center"/>
          </w:tcPr>
          <w:p>
            <w:pPr>
              <w:pStyle w:val="10"/>
              <w:rPr>
                <w:rFonts w:hint="eastAsia"/>
                <w:color w:val="auto"/>
                <w:sz w:val="18"/>
                <w:szCs w:val="18"/>
                <w:lang w:val="en-US" w:eastAsia="zh-CN"/>
              </w:rPr>
            </w:pPr>
            <w:r>
              <w:rPr>
                <w:rFonts w:hint="eastAsia"/>
                <w:color w:val="auto"/>
                <w:sz w:val="18"/>
                <w:szCs w:val="18"/>
                <w:lang w:val="en-US" w:eastAsia="zh-CN"/>
              </w:rPr>
              <w:t>近一年内的第三方产品质量检测报告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220" w:type="dxa"/>
            <w:gridSpan w:val="4"/>
            <w:vAlign w:val="center"/>
          </w:tcPr>
          <w:p>
            <w:pPr>
              <w:pStyle w:val="10"/>
              <w:rPr>
                <w:rFonts w:hint="eastAsia"/>
                <w:color w:val="auto"/>
                <w:sz w:val="18"/>
                <w:szCs w:val="18"/>
                <w:lang w:val="en-US" w:eastAsia="zh-CN"/>
              </w:rPr>
            </w:pPr>
            <w:r>
              <w:rPr>
                <w:rFonts w:hint="eastAsia"/>
                <w:color w:val="auto"/>
                <w:sz w:val="18"/>
                <w:szCs w:val="18"/>
                <w:lang w:val="en-US" w:eastAsia="zh-CN"/>
              </w:rPr>
              <w:t>注：大气污染物、污水、噪声排放应符合环境影响评价批复的要求。</w:t>
            </w:r>
          </w:p>
        </w:tc>
      </w:tr>
    </w:tbl>
    <w:p>
      <w:pPr>
        <w:pStyle w:val="10"/>
        <w:rPr>
          <w:rFonts w:hint="eastAsia"/>
          <w:color w:val="auto"/>
          <w:lang w:val="en-US" w:eastAsia="zh-CN"/>
        </w:rPr>
      </w:pPr>
    </w:p>
    <w:p>
      <w:pPr>
        <w:pStyle w:val="12"/>
        <w:numPr>
          <w:ilvl w:val="0"/>
          <w:numId w:val="0"/>
        </w:numPr>
        <w:spacing w:before="156" w:after="156"/>
        <w:rPr>
          <w:rFonts w:hint="eastAsia" w:ascii="宋体" w:hAnsi="宋体" w:eastAsia="宋体"/>
          <w:color w:val="auto"/>
        </w:rPr>
      </w:pPr>
      <w:r>
        <w:rPr>
          <w:rFonts w:hint="eastAsia" w:ascii="宋体" w:hAnsi="宋体" w:eastAsia="宋体"/>
          <w:color w:val="auto"/>
        </w:rPr>
        <w:t>注：申报单位提供上述要求的相关证明文件。</w:t>
      </w:r>
    </w:p>
    <w:p>
      <w:pPr>
        <w:pStyle w:val="10"/>
        <w:rPr>
          <w:rFonts w:hint="eastAsia"/>
          <w:color w:val="auto"/>
          <w:lang w:val="en-US" w:eastAsia="zh-CN"/>
        </w:rPr>
      </w:pPr>
    </w:p>
    <w:p>
      <w:pPr>
        <w:rPr>
          <w:color w:val="auto"/>
        </w:rPr>
      </w:pPr>
      <w:bookmarkStart w:id="3" w:name="_GoBack"/>
      <w:bookmarkEnd w:id="3"/>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9"/>
      <w:suff w:val="nothing"/>
      <w:lvlText w:val="%1　"/>
      <w:lvlJc w:val="left"/>
      <w:rPr>
        <w:rFonts w:hint="eastAsia" w:ascii="黑体" w:hAnsi="Times New Roman" w:eastAsia="黑体" w:cs="Times New Roman"/>
        <w:b w:val="0"/>
        <w:i w:val="0"/>
        <w:sz w:val="21"/>
        <w:szCs w:val="21"/>
      </w:rPr>
    </w:lvl>
    <w:lvl w:ilvl="1" w:tentative="0">
      <w:start w:val="1"/>
      <w:numFmt w:val="decimal"/>
      <w:pStyle w:val="1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1"/>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4B9DF340"/>
    <w:multiLevelType w:val="singleLevel"/>
    <w:tmpl w:val="4B9DF34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F1D56"/>
    <w:rsid w:val="047859AB"/>
    <w:rsid w:val="08D942DE"/>
    <w:rsid w:val="304465DF"/>
    <w:rsid w:val="56E46F0D"/>
    <w:rsid w:val="5C957B2E"/>
    <w:rsid w:val="5F9E7226"/>
    <w:rsid w:val="70BB2335"/>
    <w:rsid w:val="79CC42CB"/>
    <w:rsid w:val="7FE3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99"/>
    <w:rPr>
      <w:rFonts w:cs="Times New Roman"/>
      <w:b/>
      <w:bCs/>
    </w:rPr>
  </w:style>
  <w:style w:type="character" w:styleId="8">
    <w:name w:val="page number"/>
    <w:basedOn w:val="6"/>
    <w:qFormat/>
    <w:uiPriority w:val="0"/>
  </w:style>
  <w:style w:type="paragraph" w:customStyle="1" w:styleId="9">
    <w:name w:val="章标题"/>
    <w:next w:val="1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二级条标题"/>
    <w:basedOn w:val="12"/>
    <w:next w:val="10"/>
    <w:qFormat/>
    <w:uiPriority w:val="0"/>
    <w:pPr>
      <w:numPr>
        <w:ilvl w:val="2"/>
        <w:numId w:val="1"/>
      </w:numPr>
      <w:spacing w:before="50" w:after="50"/>
      <w:outlineLvl w:val="3"/>
    </w:pPr>
  </w:style>
  <w:style w:type="paragraph" w:customStyle="1" w:styleId="12">
    <w:name w:val="一级条标题"/>
    <w:next w:val="1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花开花落、只愿相伴つ </cp:lastModifiedBy>
  <cp:lastPrinted>2020-12-10T02:33:31Z</cp:lastPrinted>
  <dcterms:modified xsi:type="dcterms:W3CDTF">2020-12-10T02:35:41Z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