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firstLine="720" w:firstLineChars="300"/>
        <w:jc w:val="left"/>
        <w:rPr>
          <w:rFonts w:hint="default" w:eastAsia="仿宋_GB2312"/>
          <w:color w:val="000000"/>
          <w:sz w:val="24"/>
          <w:szCs w:val="24"/>
        </w:rPr>
      </w:pPr>
      <w:r>
        <w:rPr>
          <w:rFonts w:eastAsia="仿宋_GB2312"/>
          <w:color w:val="000000"/>
          <w:sz w:val="24"/>
          <w:szCs w:val="24"/>
        </w:rPr>
        <w:t xml:space="preserve">                                                   合同编号：</w:t>
      </w:r>
    </w:p>
    <w:p>
      <w:pPr>
        <w:pStyle w:val="2"/>
        <w:ind w:left="0"/>
        <w:jc w:val="right"/>
        <w:rPr>
          <w:rFonts w:hint="default" w:eastAsia="仿宋_GB2312"/>
          <w:color w:val="000000"/>
          <w:sz w:val="24"/>
          <w:szCs w:val="24"/>
        </w:rPr>
      </w:pPr>
    </w:p>
    <w:p>
      <w:pPr>
        <w:widowControl/>
        <w:jc w:val="center"/>
        <w:rPr>
          <w:rFonts w:hint="eastAsia" w:eastAsia="方正小标宋简体" w:cs="方正小标宋简体"/>
          <w:color w:val="000000"/>
          <w:kern w:val="0"/>
          <w:sz w:val="36"/>
          <w:szCs w:val="36"/>
          <w:lang w:eastAsia="zh-CN"/>
        </w:rPr>
      </w:pPr>
      <w:r>
        <w:rPr>
          <w:rFonts w:hint="eastAsia" w:eastAsia="方正小标宋简体" w:cs="方正小标宋简体"/>
          <w:color w:val="000000"/>
          <w:kern w:val="0"/>
          <w:sz w:val="36"/>
          <w:szCs w:val="36"/>
        </w:rPr>
        <w:t>沈阳市居民瓶装液化石油气供用合同</w:t>
      </w:r>
      <w:r>
        <w:rPr>
          <w:rFonts w:hint="eastAsia" w:eastAsia="方正小标宋简体" w:cs="方正小标宋简体"/>
          <w:color w:val="000000"/>
          <w:kern w:val="0"/>
          <w:sz w:val="36"/>
          <w:szCs w:val="36"/>
          <w:lang w:eastAsia="zh-CN"/>
        </w:rPr>
        <w:t>（示范文本）</w:t>
      </w:r>
    </w:p>
    <w:p>
      <w:pPr>
        <w:rPr>
          <w:color w:val="000000"/>
          <w:sz w:val="24"/>
          <w:szCs w:val="18"/>
        </w:rPr>
      </w:pPr>
    </w:p>
    <w:p>
      <w:pPr>
        <w:adjustRightInd w:val="0"/>
        <w:snapToGrid w:val="0"/>
        <w:ind w:firstLine="567"/>
        <w:rPr>
          <w:sz w:val="24"/>
          <w:szCs w:val="24"/>
        </w:rPr>
      </w:pPr>
      <w:r>
        <w:rPr>
          <w:rFonts w:hint="eastAsia"/>
          <w:sz w:val="24"/>
          <w:szCs w:val="24"/>
        </w:rPr>
        <w:t>根据《民法典》《中华人民共和国安全生产法》《中华人民共和国消费者权益保护法》《城镇燃气管理条例》《辽宁省城镇燃气管理条例》《沈阳市燃气管理条例》等国家和本市有关法律法规的规定，甲乙双方在自愿、公平和诚信的基础上，订立本合同：</w:t>
      </w:r>
    </w:p>
    <w:p>
      <w:pPr>
        <w:ind w:firstLine="480" w:firstLineChars="200"/>
        <w:rPr>
          <w:color w:val="000000"/>
          <w:sz w:val="24"/>
          <w:szCs w:val="24"/>
          <w:u w:val="single"/>
        </w:rPr>
      </w:pPr>
      <w:r>
        <w:rPr>
          <w:rFonts w:hint="eastAsia" w:eastAsia="黑体" w:cs="黑体"/>
          <w:color w:val="000000"/>
          <w:sz w:val="24"/>
          <w:szCs w:val="24"/>
        </w:rPr>
        <w:t>第一条  用气地点（地点填写到区、街乡镇，楼门牌号或农村的院落号）：</w:t>
      </w:r>
      <w:r>
        <w:rPr>
          <w:rFonts w:hint="eastAsia"/>
          <w:color w:val="000000"/>
          <w:sz w:val="24"/>
          <w:szCs w:val="24"/>
          <w:u w:val="single"/>
        </w:rPr>
        <w:t xml:space="preserve">                  </w:t>
      </w:r>
    </w:p>
    <w:p>
      <w:pPr>
        <w:ind w:firstLine="480" w:firstLineChars="200"/>
        <w:rPr>
          <w:color w:val="000000"/>
          <w:sz w:val="24"/>
          <w:szCs w:val="24"/>
          <w:u w:val="single"/>
        </w:rPr>
      </w:pPr>
      <w:r>
        <w:rPr>
          <w:rFonts w:hint="eastAsia"/>
          <w:color w:val="000000"/>
          <w:sz w:val="24"/>
          <w:szCs w:val="24"/>
          <w:u w:val="single"/>
        </w:rPr>
        <w:t xml:space="preserve">                                                                                                      </w:t>
      </w:r>
    </w:p>
    <w:p>
      <w:pPr>
        <w:ind w:firstLine="480" w:firstLineChars="200"/>
        <w:rPr>
          <w:rFonts w:eastAsia="黑体" w:cs="黑体"/>
          <w:color w:val="000000"/>
          <w:sz w:val="24"/>
          <w:szCs w:val="24"/>
        </w:rPr>
      </w:pPr>
      <w:r>
        <w:rPr>
          <w:rFonts w:hint="eastAsia" w:eastAsia="黑体" w:cs="黑体"/>
          <w:color w:val="000000"/>
          <w:sz w:val="24"/>
          <w:szCs w:val="24"/>
        </w:rPr>
        <w:t>第二条  用气设备名称</w:t>
      </w:r>
    </w:p>
    <w:tbl>
      <w:tblPr>
        <w:tblStyle w:val="5"/>
        <w:tblW w:w="100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2662"/>
        <w:gridCol w:w="1294"/>
        <w:gridCol w:w="2577"/>
        <w:gridCol w:w="1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1" w:type="dxa"/>
            <w:vAlign w:val="center"/>
          </w:tcPr>
          <w:p>
            <w:pPr>
              <w:jc w:val="center"/>
              <w:rPr>
                <w:rFonts w:cs="Arial"/>
                <w:color w:val="000000"/>
                <w:kern w:val="0"/>
                <w:sz w:val="24"/>
                <w:szCs w:val="18"/>
              </w:rPr>
            </w:pPr>
            <w:r>
              <w:rPr>
                <w:rFonts w:hint="eastAsia" w:cs="Arial"/>
                <w:color w:val="000000"/>
                <w:kern w:val="0"/>
                <w:sz w:val="24"/>
                <w:szCs w:val="18"/>
              </w:rPr>
              <w:t>名称</w:t>
            </w:r>
          </w:p>
        </w:tc>
        <w:tc>
          <w:tcPr>
            <w:tcW w:w="2662" w:type="dxa"/>
            <w:vAlign w:val="center"/>
          </w:tcPr>
          <w:p>
            <w:pPr>
              <w:jc w:val="center"/>
              <w:rPr>
                <w:rFonts w:cs="Arial"/>
                <w:color w:val="000000"/>
                <w:kern w:val="0"/>
                <w:sz w:val="24"/>
                <w:szCs w:val="18"/>
              </w:rPr>
            </w:pPr>
            <w:r>
              <w:rPr>
                <w:rFonts w:hint="eastAsia" w:cs="Arial"/>
                <w:color w:val="000000"/>
                <w:kern w:val="0"/>
                <w:sz w:val="24"/>
                <w:szCs w:val="18"/>
              </w:rPr>
              <w:t>品牌、型号</w:t>
            </w:r>
          </w:p>
        </w:tc>
        <w:tc>
          <w:tcPr>
            <w:tcW w:w="1294" w:type="dxa"/>
            <w:vAlign w:val="center"/>
          </w:tcPr>
          <w:p>
            <w:pPr>
              <w:jc w:val="center"/>
              <w:rPr>
                <w:rFonts w:cs="Arial"/>
                <w:color w:val="000000"/>
                <w:kern w:val="0"/>
                <w:sz w:val="24"/>
                <w:szCs w:val="18"/>
              </w:rPr>
            </w:pPr>
            <w:r>
              <w:rPr>
                <w:rFonts w:hint="eastAsia" w:cs="Arial"/>
                <w:color w:val="000000"/>
                <w:kern w:val="0"/>
                <w:sz w:val="24"/>
                <w:szCs w:val="18"/>
              </w:rPr>
              <w:t>数量</w:t>
            </w:r>
          </w:p>
        </w:tc>
        <w:tc>
          <w:tcPr>
            <w:tcW w:w="2577" w:type="dxa"/>
            <w:vAlign w:val="center"/>
          </w:tcPr>
          <w:p>
            <w:pPr>
              <w:jc w:val="center"/>
              <w:rPr>
                <w:rFonts w:cs="Arial"/>
                <w:color w:val="000000"/>
                <w:kern w:val="0"/>
                <w:sz w:val="24"/>
                <w:szCs w:val="18"/>
              </w:rPr>
            </w:pPr>
            <w:r>
              <w:rPr>
                <w:rFonts w:hint="eastAsia" w:cs="Arial"/>
                <w:color w:val="000000"/>
                <w:kern w:val="0"/>
                <w:sz w:val="24"/>
                <w:szCs w:val="18"/>
              </w:rPr>
              <w:t>安装单位</w:t>
            </w:r>
          </w:p>
        </w:tc>
        <w:tc>
          <w:tcPr>
            <w:tcW w:w="1792" w:type="dxa"/>
            <w:vAlign w:val="center"/>
          </w:tcPr>
          <w:p>
            <w:pPr>
              <w:jc w:val="center"/>
              <w:rPr>
                <w:rFonts w:cs="Arial"/>
                <w:color w:val="000000"/>
                <w:kern w:val="0"/>
                <w:sz w:val="24"/>
                <w:szCs w:val="18"/>
              </w:rPr>
            </w:pPr>
            <w:r>
              <w:rPr>
                <w:rFonts w:hint="eastAsia" w:cs="Arial"/>
                <w:color w:val="000000"/>
                <w:kern w:val="0"/>
                <w:sz w:val="24"/>
                <w:szCs w:val="18"/>
              </w:rPr>
              <w:t>安装时间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1" w:type="dxa"/>
          </w:tcPr>
          <w:p>
            <w:pPr>
              <w:rPr>
                <w:rFonts w:cs="Arial"/>
                <w:color w:val="000000"/>
                <w:kern w:val="0"/>
                <w:sz w:val="24"/>
                <w:szCs w:val="18"/>
              </w:rPr>
            </w:pPr>
          </w:p>
        </w:tc>
        <w:tc>
          <w:tcPr>
            <w:tcW w:w="2662" w:type="dxa"/>
          </w:tcPr>
          <w:p>
            <w:pPr>
              <w:jc w:val="center"/>
              <w:rPr>
                <w:rFonts w:cs="Arial"/>
                <w:color w:val="000000"/>
                <w:kern w:val="0"/>
                <w:sz w:val="24"/>
                <w:szCs w:val="18"/>
              </w:rPr>
            </w:pPr>
          </w:p>
        </w:tc>
        <w:tc>
          <w:tcPr>
            <w:tcW w:w="1294" w:type="dxa"/>
          </w:tcPr>
          <w:p>
            <w:pPr>
              <w:jc w:val="center"/>
              <w:rPr>
                <w:rFonts w:cs="Arial"/>
                <w:color w:val="000000"/>
                <w:kern w:val="0"/>
                <w:sz w:val="24"/>
                <w:szCs w:val="18"/>
              </w:rPr>
            </w:pPr>
          </w:p>
        </w:tc>
        <w:tc>
          <w:tcPr>
            <w:tcW w:w="2577" w:type="dxa"/>
          </w:tcPr>
          <w:p>
            <w:pPr>
              <w:jc w:val="center"/>
              <w:rPr>
                <w:rFonts w:cs="Arial"/>
                <w:color w:val="000000"/>
                <w:kern w:val="0"/>
                <w:sz w:val="24"/>
                <w:szCs w:val="18"/>
              </w:rPr>
            </w:pPr>
          </w:p>
        </w:tc>
        <w:tc>
          <w:tcPr>
            <w:tcW w:w="1792" w:type="dxa"/>
          </w:tcPr>
          <w:p>
            <w:pPr>
              <w:jc w:val="center"/>
              <w:rPr>
                <w:rFonts w:cs="Arial"/>
                <w:color w:val="000000"/>
                <w:kern w:val="0"/>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1" w:type="dxa"/>
          </w:tcPr>
          <w:p>
            <w:pPr>
              <w:rPr>
                <w:rFonts w:cs="Arial"/>
                <w:color w:val="000000"/>
                <w:kern w:val="0"/>
                <w:sz w:val="24"/>
                <w:szCs w:val="18"/>
              </w:rPr>
            </w:pPr>
          </w:p>
        </w:tc>
        <w:tc>
          <w:tcPr>
            <w:tcW w:w="2662" w:type="dxa"/>
          </w:tcPr>
          <w:p>
            <w:pPr>
              <w:jc w:val="center"/>
              <w:rPr>
                <w:rFonts w:cs="Arial"/>
                <w:color w:val="000000"/>
                <w:kern w:val="0"/>
                <w:sz w:val="24"/>
                <w:szCs w:val="18"/>
              </w:rPr>
            </w:pPr>
          </w:p>
        </w:tc>
        <w:tc>
          <w:tcPr>
            <w:tcW w:w="1294" w:type="dxa"/>
          </w:tcPr>
          <w:p>
            <w:pPr>
              <w:jc w:val="center"/>
              <w:rPr>
                <w:rFonts w:cs="Arial"/>
                <w:color w:val="000000"/>
                <w:kern w:val="0"/>
                <w:sz w:val="24"/>
                <w:szCs w:val="18"/>
              </w:rPr>
            </w:pPr>
          </w:p>
        </w:tc>
        <w:tc>
          <w:tcPr>
            <w:tcW w:w="2577" w:type="dxa"/>
          </w:tcPr>
          <w:p>
            <w:pPr>
              <w:jc w:val="center"/>
              <w:rPr>
                <w:rFonts w:cs="Arial"/>
                <w:color w:val="000000"/>
                <w:kern w:val="0"/>
                <w:sz w:val="24"/>
                <w:szCs w:val="18"/>
              </w:rPr>
            </w:pPr>
          </w:p>
        </w:tc>
        <w:tc>
          <w:tcPr>
            <w:tcW w:w="1792" w:type="dxa"/>
          </w:tcPr>
          <w:p>
            <w:pPr>
              <w:jc w:val="center"/>
              <w:rPr>
                <w:rFonts w:cs="Arial"/>
                <w:color w:val="000000"/>
                <w:kern w:val="0"/>
                <w:sz w:val="24"/>
                <w:szCs w:val="18"/>
              </w:rPr>
            </w:pPr>
          </w:p>
        </w:tc>
      </w:tr>
    </w:tbl>
    <w:p>
      <w:pPr>
        <w:ind w:firstLine="480" w:firstLineChars="200"/>
        <w:rPr>
          <w:rFonts w:eastAsia="黑体" w:cs="黑体"/>
          <w:color w:val="000000"/>
          <w:sz w:val="24"/>
          <w:szCs w:val="24"/>
        </w:rPr>
      </w:pPr>
      <w:r>
        <w:rPr>
          <w:rFonts w:hint="eastAsia" w:eastAsia="黑体" w:cs="黑体"/>
          <w:color w:val="000000"/>
          <w:sz w:val="24"/>
          <w:szCs w:val="24"/>
        </w:rPr>
        <w:t>第三条  气瓶及押金</w:t>
      </w:r>
    </w:p>
    <w:p>
      <w:pPr>
        <w:ind w:firstLine="480" w:firstLineChars="200"/>
        <w:rPr>
          <w:color w:val="000000"/>
          <w:sz w:val="24"/>
          <w:szCs w:val="24"/>
        </w:rPr>
      </w:pPr>
      <w:r>
        <w:rPr>
          <w:color w:val="000000"/>
          <w:sz w:val="24"/>
          <w:szCs w:val="24"/>
        </w:rPr>
        <w:t>甲方须使用乙方提供的</w:t>
      </w:r>
      <w:r>
        <w:rPr>
          <w:rFonts w:hint="eastAsia"/>
          <w:color w:val="000000"/>
          <w:sz w:val="24"/>
          <w:szCs w:val="24"/>
          <w:u w:val="single"/>
        </w:rPr>
        <w:t xml:space="preserve">      </w:t>
      </w:r>
      <w:r>
        <w:rPr>
          <w:rFonts w:hint="eastAsia"/>
          <w:color w:val="000000"/>
          <w:sz w:val="24"/>
          <w:szCs w:val="24"/>
        </w:rPr>
        <w:t>公斤（净含量）</w:t>
      </w:r>
      <w:r>
        <w:rPr>
          <w:color w:val="000000"/>
          <w:sz w:val="24"/>
          <w:szCs w:val="24"/>
        </w:rPr>
        <w:t>气瓶，乙方向甲方提供的气瓶应符合国家和本市气瓶安全技术规范要求，且在检验周期内。气瓶须纳入</w:t>
      </w:r>
      <w:r>
        <w:rPr>
          <w:rFonts w:hint="eastAsia"/>
          <w:color w:val="000000"/>
          <w:sz w:val="24"/>
          <w:szCs w:val="24"/>
        </w:rPr>
        <w:t>沈阳市</w:t>
      </w:r>
      <w:r>
        <w:rPr>
          <w:color w:val="000000"/>
          <w:sz w:val="24"/>
          <w:szCs w:val="24"/>
        </w:rPr>
        <w:t>统一的瓶装液化气管理信息化系统。乙方负责气瓶日常维护、定期检验及超期报废工作</w:t>
      </w:r>
      <w:r>
        <w:rPr>
          <w:rFonts w:hint="eastAsia"/>
          <w:color w:val="000000"/>
          <w:sz w:val="24"/>
          <w:szCs w:val="24"/>
        </w:rPr>
        <w:t>。</w:t>
      </w:r>
    </w:p>
    <w:p>
      <w:pPr>
        <w:ind w:firstLine="480" w:firstLineChars="200"/>
        <w:rPr>
          <w:rFonts w:cs="仿宋_GB2312"/>
          <w:color w:val="000000"/>
          <w:sz w:val="24"/>
          <w:szCs w:val="24"/>
        </w:rPr>
      </w:pPr>
      <w:r>
        <w:rPr>
          <w:color w:val="000000"/>
          <w:sz w:val="24"/>
          <w:szCs w:val="24"/>
        </w:rPr>
        <w:t>甲方须向乙方支付气瓶押金</w:t>
      </w:r>
      <w:r>
        <w:rPr>
          <w:rFonts w:hint="eastAsia"/>
          <w:color w:val="000000"/>
          <w:sz w:val="24"/>
          <w:szCs w:val="24"/>
        </w:rPr>
        <w:t>，每瓶</w:t>
      </w:r>
      <w:r>
        <w:rPr>
          <w:rFonts w:hint="eastAsia"/>
          <w:color w:val="000000"/>
          <w:sz w:val="24"/>
          <w:szCs w:val="24"/>
          <w:u w:val="single"/>
        </w:rPr>
        <w:t xml:space="preserve">      </w:t>
      </w:r>
      <w:r>
        <w:rPr>
          <w:rFonts w:hint="eastAsia"/>
          <w:color w:val="000000"/>
          <w:sz w:val="24"/>
          <w:szCs w:val="24"/>
        </w:rPr>
        <w:t>元。乙方为甲方免费办理供气使用凭证，并实行信息化管理；</w:t>
      </w:r>
      <w:r>
        <w:rPr>
          <w:color w:val="000000"/>
          <w:sz w:val="24"/>
          <w:szCs w:val="24"/>
        </w:rPr>
        <w:t>甲方</w:t>
      </w:r>
      <w:r>
        <w:rPr>
          <w:rFonts w:hint="eastAsia"/>
          <w:color w:val="000000"/>
          <w:sz w:val="24"/>
          <w:szCs w:val="24"/>
        </w:rPr>
        <w:t>不再用</w:t>
      </w:r>
      <w:r>
        <w:rPr>
          <w:color w:val="000000"/>
          <w:sz w:val="24"/>
          <w:szCs w:val="24"/>
        </w:rPr>
        <w:t>气</w:t>
      </w:r>
      <w:r>
        <w:rPr>
          <w:rFonts w:hint="eastAsia"/>
          <w:color w:val="000000"/>
          <w:sz w:val="24"/>
          <w:szCs w:val="24"/>
        </w:rPr>
        <w:t>时</w:t>
      </w:r>
      <w:r>
        <w:rPr>
          <w:color w:val="000000"/>
          <w:sz w:val="24"/>
          <w:szCs w:val="24"/>
        </w:rPr>
        <w:t>，应</w:t>
      </w:r>
      <w:r>
        <w:rPr>
          <w:rFonts w:hint="eastAsia"/>
          <w:color w:val="000000"/>
          <w:sz w:val="24"/>
          <w:szCs w:val="24"/>
          <w:lang w:eastAsia="zh-CN"/>
        </w:rPr>
        <w:t>提供</w:t>
      </w:r>
      <w:bookmarkStart w:id="2" w:name="_GoBack"/>
      <w:bookmarkEnd w:id="2"/>
      <w:r>
        <w:rPr>
          <w:rFonts w:hint="eastAsia"/>
          <w:color w:val="000000"/>
          <w:sz w:val="24"/>
          <w:szCs w:val="24"/>
        </w:rPr>
        <w:t>气</w:t>
      </w:r>
      <w:r>
        <w:rPr>
          <w:color w:val="000000"/>
          <w:sz w:val="24"/>
          <w:szCs w:val="24"/>
        </w:rPr>
        <w:t>瓶、</w:t>
      </w:r>
      <w:r>
        <w:rPr>
          <w:rFonts w:hint="eastAsia"/>
          <w:color w:val="000000"/>
          <w:sz w:val="24"/>
          <w:szCs w:val="24"/>
        </w:rPr>
        <w:t>供气使用凭证、本合同原件和</w:t>
      </w:r>
      <w:r>
        <w:rPr>
          <w:color w:val="000000"/>
          <w:sz w:val="24"/>
          <w:szCs w:val="24"/>
        </w:rPr>
        <w:t>气瓶押金凭证，</w:t>
      </w:r>
      <w:r>
        <w:rPr>
          <w:rFonts w:hint="eastAsia"/>
          <w:color w:val="000000"/>
          <w:sz w:val="24"/>
          <w:szCs w:val="24"/>
          <w:lang w:eastAsia="zh-CN"/>
        </w:rPr>
        <w:t>联系乙方上门</w:t>
      </w:r>
      <w:r>
        <w:rPr>
          <w:color w:val="000000"/>
          <w:sz w:val="24"/>
          <w:szCs w:val="24"/>
        </w:rPr>
        <w:t>办理</w:t>
      </w:r>
      <w:r>
        <w:rPr>
          <w:rFonts w:hint="eastAsia"/>
          <w:color w:val="000000"/>
          <w:sz w:val="24"/>
          <w:szCs w:val="24"/>
        </w:rPr>
        <w:t>销户手续，乙方</w:t>
      </w:r>
      <w:r>
        <w:rPr>
          <w:color w:val="000000"/>
          <w:sz w:val="24"/>
          <w:szCs w:val="24"/>
        </w:rPr>
        <w:t>退还</w:t>
      </w:r>
      <w:r>
        <w:rPr>
          <w:rFonts w:hint="eastAsia"/>
          <w:color w:val="000000"/>
          <w:sz w:val="24"/>
          <w:szCs w:val="24"/>
        </w:rPr>
        <w:t>气瓶</w:t>
      </w:r>
      <w:r>
        <w:rPr>
          <w:color w:val="000000"/>
          <w:sz w:val="24"/>
          <w:szCs w:val="24"/>
        </w:rPr>
        <w:t>押金</w:t>
      </w:r>
      <w:r>
        <w:rPr>
          <w:rFonts w:hint="eastAsia"/>
          <w:color w:val="000000"/>
          <w:sz w:val="24"/>
          <w:szCs w:val="24"/>
        </w:rPr>
        <w:t>。甲方丢失供气使用凭证后缴纳工本费</w:t>
      </w:r>
      <w:r>
        <w:rPr>
          <w:rFonts w:hint="eastAsia"/>
          <w:color w:val="000000"/>
          <w:sz w:val="24"/>
          <w:szCs w:val="24"/>
          <w:u w:val="single"/>
        </w:rPr>
        <w:t xml:space="preserve">      </w:t>
      </w:r>
      <w:r>
        <w:rPr>
          <w:rFonts w:hint="eastAsia"/>
          <w:color w:val="000000"/>
          <w:sz w:val="24"/>
          <w:szCs w:val="24"/>
        </w:rPr>
        <w:t>元，乙方予以补办。</w:t>
      </w:r>
    </w:p>
    <w:p>
      <w:pPr>
        <w:ind w:firstLine="480" w:firstLineChars="200"/>
        <w:rPr>
          <w:rFonts w:eastAsia="黑体" w:cs="黑体"/>
          <w:color w:val="000000"/>
          <w:sz w:val="24"/>
          <w:szCs w:val="24"/>
        </w:rPr>
      </w:pPr>
      <w:r>
        <w:rPr>
          <w:rFonts w:hint="eastAsia" w:eastAsia="黑体" w:cs="黑体"/>
          <w:color w:val="000000"/>
          <w:sz w:val="24"/>
          <w:szCs w:val="24"/>
        </w:rPr>
        <w:t>第四条  气体质量、供气价格</w:t>
      </w:r>
    </w:p>
    <w:p>
      <w:pPr>
        <w:ind w:firstLine="480" w:firstLineChars="200"/>
        <w:rPr>
          <w:color w:val="000000"/>
          <w:sz w:val="24"/>
          <w:szCs w:val="24"/>
        </w:rPr>
      </w:pPr>
      <w:r>
        <w:rPr>
          <w:rFonts w:hint="eastAsia"/>
          <w:color w:val="000000"/>
          <w:sz w:val="24"/>
          <w:szCs w:val="24"/>
        </w:rPr>
        <w:t>1.气体质量  乙方供应的液化石油气组分、热值和充装量须符合国家和本市相关标准要求。</w:t>
      </w:r>
    </w:p>
    <w:p>
      <w:pPr>
        <w:ind w:firstLine="480" w:firstLineChars="200"/>
        <w:rPr>
          <w:color w:val="000000"/>
          <w:sz w:val="24"/>
          <w:szCs w:val="24"/>
        </w:rPr>
      </w:pPr>
      <w:r>
        <w:rPr>
          <w:rFonts w:hint="eastAsia"/>
          <w:color w:val="000000"/>
          <w:sz w:val="24"/>
          <w:szCs w:val="24"/>
        </w:rPr>
        <w:t>2.本合同签订时供气价格为：YSP</w:t>
      </w:r>
      <w:r>
        <w:rPr>
          <w:color w:val="000000"/>
          <w:sz w:val="24"/>
          <w:szCs w:val="24"/>
        </w:rPr>
        <w:t>12</w:t>
      </w:r>
      <w:r>
        <w:rPr>
          <w:rFonts w:hint="eastAsia"/>
          <w:color w:val="000000"/>
          <w:sz w:val="24"/>
          <w:szCs w:val="24"/>
        </w:rPr>
        <w:t>液化气瓶</w:t>
      </w:r>
      <w:r>
        <w:rPr>
          <w:rFonts w:hint="eastAsia"/>
          <w:color w:val="000000"/>
          <w:sz w:val="24"/>
          <w:szCs w:val="24"/>
          <w:u w:val="single"/>
        </w:rPr>
        <w:t xml:space="preserve">       </w:t>
      </w:r>
      <w:r>
        <w:rPr>
          <w:rFonts w:hint="eastAsia"/>
          <w:color w:val="000000"/>
          <w:sz w:val="24"/>
          <w:szCs w:val="24"/>
        </w:rPr>
        <w:t>元/支，YSP</w:t>
      </w:r>
      <w:r>
        <w:rPr>
          <w:color w:val="000000"/>
          <w:sz w:val="24"/>
          <w:szCs w:val="24"/>
        </w:rPr>
        <w:t>23.5</w:t>
      </w:r>
      <w:r>
        <w:rPr>
          <w:rFonts w:hint="eastAsia"/>
          <w:color w:val="000000"/>
          <w:sz w:val="24"/>
          <w:szCs w:val="24"/>
        </w:rPr>
        <w:t>液化气瓶</w:t>
      </w:r>
      <w:r>
        <w:rPr>
          <w:rFonts w:hint="eastAsia"/>
          <w:color w:val="000000"/>
          <w:sz w:val="24"/>
          <w:szCs w:val="24"/>
          <w:u w:val="single"/>
        </w:rPr>
        <w:t xml:space="preserve">       </w:t>
      </w:r>
      <w:r>
        <w:rPr>
          <w:rFonts w:hint="eastAsia"/>
          <w:color w:val="000000"/>
          <w:sz w:val="24"/>
          <w:szCs w:val="24"/>
        </w:rPr>
        <w:t>元/支，YSP</w:t>
      </w:r>
      <w:r>
        <w:rPr>
          <w:color w:val="000000"/>
          <w:sz w:val="24"/>
          <w:szCs w:val="24"/>
        </w:rPr>
        <w:t>35.5</w:t>
      </w:r>
      <w:r>
        <w:rPr>
          <w:rFonts w:hint="eastAsia"/>
          <w:color w:val="000000"/>
          <w:sz w:val="24"/>
          <w:szCs w:val="24"/>
        </w:rPr>
        <w:t>液化气瓶</w:t>
      </w:r>
      <w:r>
        <w:rPr>
          <w:rFonts w:hint="eastAsia"/>
          <w:color w:val="000000"/>
          <w:sz w:val="24"/>
          <w:szCs w:val="24"/>
          <w:u w:val="single"/>
        </w:rPr>
        <w:t xml:space="preserve">       </w:t>
      </w:r>
      <w:r>
        <w:rPr>
          <w:rFonts w:hint="eastAsia"/>
          <w:color w:val="000000"/>
          <w:sz w:val="24"/>
          <w:szCs w:val="24"/>
        </w:rPr>
        <w:t>元/支，遇本市政策调整，按调整后政策执行。</w:t>
      </w:r>
    </w:p>
    <w:p>
      <w:pPr>
        <w:ind w:firstLine="480" w:firstLineChars="200"/>
        <w:rPr>
          <w:rFonts w:eastAsia="黑体" w:cs="黑体"/>
          <w:color w:val="000000"/>
          <w:sz w:val="24"/>
          <w:szCs w:val="24"/>
        </w:rPr>
      </w:pPr>
      <w:r>
        <w:rPr>
          <w:rFonts w:hint="eastAsia" w:eastAsia="黑体" w:cs="黑体"/>
          <w:color w:val="000000"/>
          <w:sz w:val="24"/>
          <w:szCs w:val="24"/>
        </w:rPr>
        <w:t>第五条  户内燃气安全防护装置安装情况</w:t>
      </w:r>
    </w:p>
    <w:p>
      <w:pPr>
        <w:ind w:firstLine="480" w:firstLineChars="200"/>
        <w:rPr>
          <w:rFonts w:cs="仿宋_GB2312"/>
          <w:color w:val="000000"/>
          <w:sz w:val="24"/>
          <w:szCs w:val="24"/>
        </w:rPr>
      </w:pPr>
      <w:r>
        <w:rPr>
          <w:rFonts w:hint="eastAsia" w:cs="仿宋_GB2312"/>
          <w:color w:val="000000"/>
          <w:sz w:val="24"/>
          <w:szCs w:val="24"/>
        </w:rPr>
        <w:t xml:space="preserve">□长寿命灶具连接管      □具有自闭功能的气瓶调压器    </w:t>
      </w:r>
    </w:p>
    <w:p>
      <w:pPr>
        <w:ind w:firstLine="480" w:firstLineChars="200"/>
        <w:rPr>
          <w:color w:val="000000"/>
          <w:sz w:val="24"/>
          <w:szCs w:val="24"/>
        </w:rPr>
      </w:pPr>
      <w:r>
        <w:rPr>
          <w:rFonts w:hint="eastAsia" w:cs="仿宋_GB2312"/>
          <w:color w:val="000000"/>
          <w:sz w:val="24"/>
          <w:szCs w:val="24"/>
        </w:rPr>
        <w:t>□液化气泄漏报警器</w:t>
      </w:r>
    </w:p>
    <w:p>
      <w:pPr>
        <w:ind w:firstLine="470" w:firstLineChars="196"/>
        <w:rPr>
          <w:rFonts w:eastAsia="黑体" w:cs="黑体"/>
          <w:color w:val="000000"/>
          <w:sz w:val="24"/>
          <w:szCs w:val="24"/>
        </w:rPr>
      </w:pPr>
      <w:r>
        <w:rPr>
          <w:rFonts w:hint="eastAsia" w:eastAsia="黑体" w:cs="黑体"/>
          <w:color w:val="000000"/>
          <w:sz w:val="24"/>
          <w:szCs w:val="24"/>
        </w:rPr>
        <w:t xml:space="preserve">第六条  其他约定 </w:t>
      </w:r>
    </w:p>
    <w:p>
      <w:pPr>
        <w:ind w:firstLine="480" w:firstLineChars="200"/>
        <w:rPr>
          <w:color w:val="000000"/>
          <w:sz w:val="24"/>
          <w:szCs w:val="24"/>
        </w:rPr>
      </w:pPr>
      <w:r>
        <w:rPr>
          <w:rFonts w:hint="eastAsia"/>
          <w:color w:val="000000"/>
          <w:sz w:val="24"/>
          <w:szCs w:val="24"/>
        </w:rPr>
        <w:t>1</w:t>
      </w:r>
      <w:r>
        <w:rPr>
          <w:color w:val="000000"/>
          <w:sz w:val="24"/>
          <w:szCs w:val="24"/>
        </w:rPr>
        <w:t>.</w:t>
      </w:r>
      <w:r>
        <w:rPr>
          <w:rFonts w:hint="eastAsia"/>
          <w:color w:val="000000"/>
          <w:sz w:val="24"/>
          <w:szCs w:val="24"/>
        </w:rPr>
        <w:t>本合同一式两份，甲乙双方各执一份，自甲方签字及乙方加盖公章之日起长期有效。</w:t>
      </w:r>
    </w:p>
    <w:p>
      <w:pPr>
        <w:ind w:firstLine="480" w:firstLineChars="200"/>
        <w:rPr>
          <w:color w:val="000000"/>
          <w:sz w:val="24"/>
          <w:szCs w:val="24"/>
        </w:rPr>
      </w:pPr>
      <w:r>
        <w:rPr>
          <w:color w:val="000000"/>
          <w:sz w:val="24"/>
          <w:szCs w:val="24"/>
        </w:rPr>
        <w:t>2.</w:t>
      </w:r>
      <w:r>
        <w:rPr>
          <w:rFonts w:hint="eastAsia"/>
          <w:color w:val="000000"/>
          <w:sz w:val="24"/>
          <w:szCs w:val="24"/>
        </w:rPr>
        <w:t>本合同未尽</w:t>
      </w:r>
      <w:r>
        <w:rPr>
          <w:color w:val="000000"/>
          <w:sz w:val="24"/>
          <w:szCs w:val="24"/>
        </w:rPr>
        <w:t>事项</w:t>
      </w:r>
      <w:r>
        <w:rPr>
          <w:rFonts w:hint="eastAsia"/>
          <w:color w:val="000000"/>
          <w:sz w:val="24"/>
          <w:szCs w:val="24"/>
        </w:rPr>
        <w:t>，</w:t>
      </w:r>
      <w:r>
        <w:rPr>
          <w:color w:val="000000"/>
          <w:sz w:val="24"/>
          <w:szCs w:val="24"/>
        </w:rPr>
        <w:t>依据有关法律、法规、行业规范的规定执行。</w:t>
      </w:r>
    </w:p>
    <w:p>
      <w:pPr>
        <w:ind w:firstLine="480" w:firstLineChars="200"/>
        <w:rPr>
          <w:color w:val="000000"/>
          <w:sz w:val="24"/>
          <w:szCs w:val="24"/>
        </w:rPr>
      </w:pPr>
      <w:r>
        <w:rPr>
          <w:color w:val="000000"/>
          <w:sz w:val="24"/>
          <w:szCs w:val="24"/>
        </w:rPr>
        <w:t>3</w:t>
      </w:r>
      <w:r>
        <w:rPr>
          <w:rFonts w:hint="eastAsia"/>
          <w:color w:val="000000"/>
          <w:sz w:val="24"/>
          <w:szCs w:val="24"/>
        </w:rPr>
        <w:t>.</w:t>
      </w:r>
      <w:bookmarkStart w:id="0" w:name="_Hlk110164653"/>
      <w:r>
        <w:rPr>
          <w:rFonts w:hint="eastAsia"/>
          <w:color w:val="000000"/>
          <w:sz w:val="24"/>
          <w:szCs w:val="24"/>
        </w:rPr>
        <w:t>本合同项下发生的争议，由双方协商解决，也可以向属地消费者协会或其他人民调解组织申请调解；协商不成的，向</w:t>
      </w:r>
      <w:r>
        <w:rPr>
          <w:rFonts w:hint="eastAsia"/>
          <w:color w:val="000000"/>
          <w:sz w:val="24"/>
          <w:szCs w:val="24"/>
          <w:u w:val="single"/>
        </w:rPr>
        <w:t xml:space="preserve">   </w:t>
      </w:r>
      <w:r>
        <w:rPr>
          <w:rFonts w:hint="eastAsia"/>
          <w:color w:val="000000"/>
          <w:sz w:val="24"/>
          <w:szCs w:val="24"/>
          <w:u w:val="single"/>
          <w:lang w:val="en-US" w:eastAsia="zh-CN"/>
        </w:rPr>
        <w:t xml:space="preserve">         </w:t>
      </w:r>
      <w:r>
        <w:rPr>
          <w:rFonts w:hint="eastAsia"/>
          <w:color w:val="000000"/>
          <w:sz w:val="24"/>
          <w:szCs w:val="24"/>
          <w:u w:val="single"/>
        </w:rPr>
        <w:t xml:space="preserve">   </w:t>
      </w:r>
      <w:r>
        <w:rPr>
          <w:rFonts w:hint="eastAsia"/>
          <w:color w:val="000000"/>
          <w:sz w:val="24"/>
          <w:szCs w:val="24"/>
          <w:lang w:eastAsia="zh-CN"/>
        </w:rPr>
        <w:t>人民法院</w:t>
      </w:r>
      <w:r>
        <w:rPr>
          <w:rFonts w:hint="eastAsia"/>
          <w:color w:val="000000"/>
          <w:sz w:val="24"/>
          <w:szCs w:val="24"/>
        </w:rPr>
        <w:t>提起诉讼或根据双方另行达成的仲裁协议申请仲裁。</w:t>
      </w:r>
      <w:bookmarkEnd w:id="0"/>
    </w:p>
    <w:p>
      <w:pPr>
        <w:jc w:val="center"/>
        <w:rPr>
          <w:color w:val="000000"/>
          <w:sz w:val="24"/>
          <w:szCs w:val="24"/>
          <w:u w:val="wave"/>
        </w:rPr>
      </w:pPr>
    </w:p>
    <w:p>
      <w:pPr>
        <w:ind w:firstLine="481" w:firstLineChars="200"/>
        <w:jc w:val="left"/>
        <w:rPr>
          <w:color w:val="000000"/>
          <w:sz w:val="24"/>
          <w:szCs w:val="24"/>
          <w:u w:val="wave"/>
        </w:rPr>
      </w:pPr>
      <w:r>
        <w:rPr>
          <w:rFonts w:hint="eastAsia" w:ascii="黑体" w:hAnsi="黑体" w:eastAsia="黑体"/>
          <w:b/>
          <w:bCs/>
          <w:color w:val="000000"/>
          <w:sz w:val="24"/>
          <w:szCs w:val="24"/>
        </w:rPr>
        <w:t>请用气人仔细阅读通用条款及供气人提供的安全用气须知，再行签署本合同</w:t>
      </w:r>
      <w:r>
        <w:rPr>
          <w:rFonts w:hint="eastAsia"/>
          <w:b/>
          <w:bCs/>
          <w:color w:val="000000"/>
          <w:sz w:val="24"/>
          <w:szCs w:val="24"/>
          <w:u w:val="none"/>
        </w:rPr>
        <w:t>。</w:t>
      </w:r>
    </w:p>
    <w:p>
      <w:pPr>
        <w:widowControl/>
        <w:rPr>
          <w:color w:val="000000"/>
          <w:sz w:val="24"/>
          <w:szCs w:val="24"/>
        </w:rPr>
      </w:pPr>
    </w:p>
    <w:p>
      <w:pPr>
        <w:widowControl/>
        <w:ind w:firstLine="480" w:firstLineChars="200"/>
        <w:rPr>
          <w:color w:val="000000"/>
          <w:sz w:val="24"/>
          <w:szCs w:val="24"/>
        </w:rPr>
      </w:pPr>
      <w:r>
        <w:rPr>
          <w:rFonts w:hint="eastAsia"/>
          <w:color w:val="000000"/>
          <w:sz w:val="24"/>
          <w:szCs w:val="24"/>
        </w:rPr>
        <w:t xml:space="preserve">用气人（甲方）：            </w:t>
      </w:r>
      <w:r>
        <w:rPr>
          <w:color w:val="000000"/>
          <w:sz w:val="24"/>
          <w:szCs w:val="24"/>
        </w:rPr>
        <w:t xml:space="preserve">    </w:t>
      </w:r>
      <w:r>
        <w:rPr>
          <w:rFonts w:hint="eastAsia"/>
          <w:color w:val="000000"/>
          <w:sz w:val="24"/>
          <w:szCs w:val="24"/>
        </w:rPr>
        <w:t xml:space="preserve">       供气人（乙方盖章）：</w:t>
      </w:r>
    </w:p>
    <w:p>
      <w:pPr>
        <w:pStyle w:val="3"/>
        <w:ind w:firstLine="5280" w:firstLineChars="2200"/>
        <w:rPr>
          <w:rFonts w:hint="eastAsia" w:ascii="宋体" w:hAnsi="宋体" w:eastAsia="仿宋_GB2312"/>
          <w:sz w:val="24"/>
          <w:szCs w:val="24"/>
        </w:rPr>
      </w:pPr>
    </w:p>
    <w:p>
      <w:pPr>
        <w:pStyle w:val="3"/>
        <w:ind w:firstLine="5280" w:firstLineChars="2200"/>
        <w:rPr>
          <w:rFonts w:ascii="宋体" w:hAnsi="宋体" w:eastAsia="仿宋_GB2312"/>
          <w:sz w:val="24"/>
          <w:szCs w:val="24"/>
        </w:rPr>
      </w:pPr>
      <w:r>
        <w:rPr>
          <w:rFonts w:hint="eastAsia" w:ascii="宋体" w:hAnsi="宋体" w:eastAsia="仿宋_GB2312"/>
          <w:sz w:val="24"/>
          <w:szCs w:val="24"/>
        </w:rPr>
        <w:t>法定代表人</w:t>
      </w:r>
    </w:p>
    <w:p>
      <w:pPr>
        <w:ind w:firstLine="5280" w:firstLineChars="2200"/>
        <w:rPr>
          <w:sz w:val="24"/>
          <w:szCs w:val="24"/>
        </w:rPr>
      </w:pPr>
      <w:r>
        <w:rPr>
          <w:rFonts w:hint="eastAsia"/>
          <w:sz w:val="24"/>
          <w:szCs w:val="24"/>
        </w:rPr>
        <w:t>或委托代理人（签字）：</w:t>
      </w:r>
    </w:p>
    <w:tbl>
      <w:tblPr>
        <w:tblStyle w:val="5"/>
        <w:tblW w:w="10080" w:type="dxa"/>
        <w:jc w:val="cente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5040"/>
        <w:gridCol w:w="5040"/>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324" w:hRule="atLeast"/>
          <w:jc w:val="center"/>
        </w:trPr>
        <w:tc>
          <w:tcPr>
            <w:tcW w:w="5040" w:type="dxa"/>
            <w:tcBorders>
              <w:tl2br w:val="nil"/>
              <w:tr2bl w:val="nil"/>
            </w:tcBorders>
          </w:tcPr>
          <w:p>
            <w:pPr>
              <w:widowControl/>
              <w:rPr>
                <w:color w:val="000000"/>
                <w:sz w:val="24"/>
                <w:szCs w:val="24"/>
              </w:rPr>
            </w:pPr>
            <w:r>
              <w:rPr>
                <w:rFonts w:hint="eastAsia"/>
                <w:color w:val="000000"/>
                <w:sz w:val="24"/>
                <w:szCs w:val="24"/>
              </w:rPr>
              <w:t xml:space="preserve">公民身份号码：  </w:t>
            </w:r>
          </w:p>
        </w:tc>
        <w:tc>
          <w:tcPr>
            <w:tcW w:w="5040" w:type="dxa"/>
            <w:tcBorders>
              <w:tl2br w:val="nil"/>
              <w:tr2bl w:val="nil"/>
            </w:tcBorders>
          </w:tcPr>
          <w:p>
            <w:pPr>
              <w:widowControl/>
              <w:rPr>
                <w:color w:val="000000"/>
                <w:sz w:val="24"/>
                <w:szCs w:val="24"/>
              </w:rPr>
            </w:pPr>
            <w:r>
              <w:rPr>
                <w:rFonts w:hint="eastAsia"/>
                <w:color w:val="000000"/>
                <w:sz w:val="24"/>
                <w:szCs w:val="24"/>
              </w:rPr>
              <w:t>统一社会信用代码：</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324" w:hRule="atLeast"/>
          <w:jc w:val="center"/>
        </w:trPr>
        <w:tc>
          <w:tcPr>
            <w:tcW w:w="5040" w:type="dxa"/>
            <w:tcBorders>
              <w:tl2br w:val="nil"/>
              <w:tr2bl w:val="nil"/>
            </w:tcBorders>
          </w:tcPr>
          <w:p>
            <w:pPr>
              <w:widowControl/>
              <w:rPr>
                <w:color w:val="000000"/>
                <w:sz w:val="24"/>
                <w:szCs w:val="24"/>
              </w:rPr>
            </w:pPr>
            <w:r>
              <w:rPr>
                <w:rFonts w:hint="eastAsia"/>
                <w:color w:val="000000"/>
                <w:sz w:val="24"/>
                <w:szCs w:val="24"/>
              </w:rPr>
              <w:t>联系电话：</w:t>
            </w:r>
          </w:p>
        </w:tc>
        <w:tc>
          <w:tcPr>
            <w:tcW w:w="5040" w:type="dxa"/>
            <w:tcBorders>
              <w:tl2br w:val="nil"/>
              <w:tr2bl w:val="nil"/>
            </w:tcBorders>
          </w:tcPr>
          <w:p>
            <w:pPr>
              <w:widowControl/>
              <w:rPr>
                <w:color w:val="000000"/>
                <w:sz w:val="24"/>
                <w:szCs w:val="24"/>
              </w:rPr>
            </w:pPr>
            <w:r>
              <w:rPr>
                <w:rFonts w:hint="eastAsia"/>
                <w:color w:val="000000"/>
                <w:sz w:val="24"/>
                <w:szCs w:val="24"/>
              </w:rPr>
              <w:t>服务电话：</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jc w:val="center"/>
        </w:trPr>
        <w:tc>
          <w:tcPr>
            <w:tcW w:w="5040" w:type="dxa"/>
            <w:tcBorders>
              <w:tl2br w:val="nil"/>
              <w:tr2bl w:val="nil"/>
            </w:tcBorders>
          </w:tcPr>
          <w:p>
            <w:pPr>
              <w:widowControl/>
              <w:rPr>
                <w:color w:val="000000"/>
                <w:sz w:val="24"/>
                <w:szCs w:val="24"/>
              </w:rPr>
            </w:pPr>
            <w:r>
              <w:rPr>
                <w:rFonts w:hint="eastAsia"/>
                <w:color w:val="000000"/>
                <w:sz w:val="24"/>
                <w:szCs w:val="24"/>
              </w:rPr>
              <w:t>应急联系人姓名及电话：</w:t>
            </w:r>
          </w:p>
        </w:tc>
        <w:tc>
          <w:tcPr>
            <w:tcW w:w="5040" w:type="dxa"/>
            <w:tcBorders>
              <w:tl2br w:val="nil"/>
              <w:tr2bl w:val="nil"/>
            </w:tcBorders>
          </w:tcPr>
          <w:p>
            <w:pPr>
              <w:widowControl/>
              <w:rPr>
                <w:color w:val="000000"/>
                <w:sz w:val="24"/>
                <w:szCs w:val="24"/>
              </w:rPr>
            </w:pPr>
            <w:r>
              <w:rPr>
                <w:rFonts w:hint="eastAsia"/>
                <w:color w:val="000000"/>
                <w:sz w:val="24"/>
                <w:szCs w:val="24"/>
              </w:rPr>
              <w:t>24小时报修电话：</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jc w:val="center"/>
        </w:trPr>
        <w:tc>
          <w:tcPr>
            <w:tcW w:w="5040" w:type="dxa"/>
            <w:tcBorders>
              <w:tl2br w:val="nil"/>
              <w:tr2bl w:val="nil"/>
            </w:tcBorders>
          </w:tcPr>
          <w:p>
            <w:pPr>
              <w:widowControl/>
              <w:rPr>
                <w:color w:val="000000"/>
                <w:sz w:val="24"/>
                <w:szCs w:val="24"/>
              </w:rPr>
            </w:pPr>
          </w:p>
        </w:tc>
        <w:tc>
          <w:tcPr>
            <w:tcW w:w="5040" w:type="dxa"/>
            <w:tcBorders>
              <w:tl2br w:val="nil"/>
              <w:tr2bl w:val="nil"/>
            </w:tcBorders>
          </w:tcPr>
          <w:p>
            <w:pPr>
              <w:widowControl/>
              <w:rPr>
                <w:color w:val="000000"/>
                <w:sz w:val="24"/>
                <w:szCs w:val="24"/>
              </w:rPr>
            </w:pPr>
          </w:p>
        </w:tc>
      </w:tr>
    </w:tbl>
    <w:p>
      <w:pPr>
        <w:widowControl/>
        <w:rPr>
          <w:color w:val="000000"/>
          <w:sz w:val="24"/>
          <w:szCs w:val="24"/>
        </w:rPr>
      </w:pPr>
      <w:r>
        <w:rPr>
          <w:rFonts w:hint="eastAsia"/>
          <w:color w:val="000000"/>
          <w:sz w:val="24"/>
          <w:szCs w:val="24"/>
        </w:rPr>
        <w:t xml:space="preserve">                                      </w:t>
      </w:r>
    </w:p>
    <w:p>
      <w:pPr>
        <w:widowControl/>
        <w:rPr>
          <w:color w:val="000000"/>
          <w:sz w:val="24"/>
          <w:szCs w:val="24"/>
        </w:rPr>
      </w:pPr>
    </w:p>
    <w:p>
      <w:pPr>
        <w:widowControl/>
        <w:ind w:firstLine="6480" w:firstLineChars="2700"/>
        <w:rPr>
          <w:color w:val="000000"/>
          <w:sz w:val="24"/>
          <w:szCs w:val="24"/>
        </w:rPr>
      </w:pPr>
      <w:r>
        <w:rPr>
          <w:rFonts w:hint="eastAsia"/>
          <w:color w:val="000000"/>
          <w:sz w:val="24"/>
          <w:szCs w:val="24"/>
        </w:rPr>
        <w:t xml:space="preserve">签订时间：      年   月   日        </w:t>
      </w:r>
    </w:p>
    <w:p>
      <w:pPr>
        <w:ind w:firstLine="480" w:firstLineChars="200"/>
        <w:rPr>
          <w:sz w:val="24"/>
          <w:szCs w:val="24"/>
        </w:rPr>
      </w:pPr>
    </w:p>
    <w:p>
      <w:pPr>
        <w:pStyle w:val="2"/>
        <w:rPr>
          <w:rFonts w:hint="default"/>
          <w:sz w:val="24"/>
          <w:szCs w:val="24"/>
        </w:rPr>
      </w:pPr>
    </w:p>
    <w:p>
      <w:pPr>
        <w:pStyle w:val="3"/>
        <w:rPr>
          <w:rFonts w:hint="default"/>
          <w:sz w:val="24"/>
          <w:szCs w:val="24"/>
        </w:rPr>
      </w:pPr>
    </w:p>
    <w:p>
      <w:pPr>
        <w:rPr>
          <w:rFonts w:hint="default"/>
          <w:sz w:val="24"/>
          <w:szCs w:val="24"/>
        </w:rPr>
      </w:pPr>
    </w:p>
    <w:p>
      <w:pPr>
        <w:pStyle w:val="2"/>
        <w:rPr>
          <w:rFonts w:hint="default"/>
          <w:sz w:val="24"/>
          <w:szCs w:val="24"/>
        </w:rPr>
      </w:pPr>
    </w:p>
    <w:p>
      <w:pPr>
        <w:pStyle w:val="3"/>
        <w:rPr>
          <w:rFonts w:hint="default"/>
          <w:sz w:val="24"/>
          <w:szCs w:val="24"/>
        </w:rPr>
      </w:pPr>
    </w:p>
    <w:p>
      <w:pPr>
        <w:rPr>
          <w:rFonts w:hint="default"/>
          <w:sz w:val="24"/>
          <w:szCs w:val="24"/>
        </w:rPr>
      </w:pPr>
    </w:p>
    <w:p>
      <w:pPr>
        <w:pStyle w:val="2"/>
        <w:rPr>
          <w:rFonts w:hint="default"/>
          <w:sz w:val="24"/>
          <w:szCs w:val="24"/>
        </w:rPr>
      </w:pPr>
    </w:p>
    <w:p>
      <w:pPr>
        <w:pStyle w:val="3"/>
        <w:rPr>
          <w:rFonts w:hint="default"/>
          <w:sz w:val="24"/>
          <w:szCs w:val="24"/>
        </w:rPr>
      </w:pPr>
    </w:p>
    <w:p>
      <w:pPr>
        <w:rPr>
          <w:rFonts w:hint="default"/>
          <w:sz w:val="24"/>
          <w:szCs w:val="24"/>
        </w:rPr>
      </w:pPr>
    </w:p>
    <w:p>
      <w:pPr>
        <w:pStyle w:val="2"/>
        <w:rPr>
          <w:rFonts w:hint="default"/>
          <w:sz w:val="24"/>
          <w:szCs w:val="24"/>
        </w:rPr>
      </w:pPr>
    </w:p>
    <w:p>
      <w:pPr>
        <w:pStyle w:val="3"/>
        <w:rPr>
          <w:rFonts w:hint="default"/>
        </w:rPr>
      </w:pPr>
    </w:p>
    <w:p>
      <w:pPr>
        <w:pStyle w:val="3"/>
        <w:rPr>
          <w:rFonts w:hint="default"/>
          <w:sz w:val="24"/>
          <w:szCs w:val="24"/>
        </w:rPr>
      </w:pPr>
    </w:p>
    <w:p>
      <w:pPr>
        <w:rPr>
          <w:rFonts w:hint="default"/>
        </w:rPr>
      </w:pPr>
    </w:p>
    <w:p>
      <w:pPr>
        <w:jc w:val="center"/>
        <w:rPr>
          <w:rFonts w:eastAsia="方正小标宋简体" w:cs="方正小标宋简体"/>
          <w:sz w:val="36"/>
          <w:szCs w:val="36"/>
        </w:rPr>
      </w:pPr>
      <w:r>
        <w:rPr>
          <w:rFonts w:hint="eastAsia" w:eastAsia="方正小标宋简体" w:cs="方正小标宋简体"/>
          <w:sz w:val="36"/>
          <w:szCs w:val="36"/>
        </w:rPr>
        <w:t>通 用 条 款</w:t>
      </w:r>
    </w:p>
    <w:p>
      <w:pPr>
        <w:ind w:firstLine="480" w:firstLineChars="200"/>
        <w:rPr>
          <w:sz w:val="24"/>
          <w:szCs w:val="24"/>
        </w:rPr>
      </w:pPr>
    </w:p>
    <w:p>
      <w:pPr>
        <w:ind w:firstLine="480" w:firstLineChars="200"/>
        <w:rPr>
          <w:rFonts w:eastAsia="黑体" w:cs="黑体"/>
          <w:sz w:val="24"/>
          <w:szCs w:val="24"/>
        </w:rPr>
      </w:pPr>
      <w:r>
        <w:rPr>
          <w:rFonts w:hint="eastAsia" w:eastAsia="黑体" w:cs="黑体"/>
          <w:sz w:val="24"/>
          <w:szCs w:val="24"/>
        </w:rPr>
        <w:t>一、安全和服务责任</w:t>
      </w:r>
    </w:p>
    <w:p>
      <w:pPr>
        <w:ind w:firstLine="480" w:firstLineChars="200"/>
        <w:rPr>
          <w:sz w:val="24"/>
          <w:szCs w:val="24"/>
        </w:rPr>
      </w:pPr>
      <w:r>
        <w:rPr>
          <w:rFonts w:hint="eastAsia"/>
          <w:sz w:val="24"/>
          <w:szCs w:val="24"/>
        </w:rPr>
        <w:t>1.甲方应了解液化气安全使用常识，对室(户)内用气场所、燃气燃烧器具进行日常检查，配合乙方的入户安全检查，及时整改安全用气隐患。</w:t>
      </w:r>
    </w:p>
    <w:p>
      <w:pPr>
        <w:ind w:firstLine="480" w:firstLineChars="200"/>
        <w:rPr>
          <w:sz w:val="24"/>
          <w:szCs w:val="24"/>
        </w:rPr>
      </w:pPr>
      <w:r>
        <w:rPr>
          <w:rFonts w:hint="eastAsia"/>
          <w:sz w:val="24"/>
          <w:szCs w:val="24"/>
        </w:rPr>
        <w:t>2.甲方发现室（户）内燃气泄漏等故障时先关闭气瓶角阀，并向乙方报修；乙方提供24小时应急服务。</w:t>
      </w:r>
    </w:p>
    <w:p>
      <w:pPr>
        <w:ind w:firstLine="480" w:firstLineChars="200"/>
        <w:rPr>
          <w:sz w:val="24"/>
          <w:szCs w:val="24"/>
        </w:rPr>
      </w:pPr>
      <w:r>
        <w:rPr>
          <w:rFonts w:hint="eastAsia"/>
          <w:sz w:val="24"/>
          <w:szCs w:val="24"/>
        </w:rPr>
        <w:t>3.甲方购气时，乙方直接配送上门，并负责对居民用户的用气场所、燃气燃烧器具进行安全检查，对燃气系统与气瓶进行连接，并检查燃气系统连接气密性，记录存档。乙方应每年对甲方室（户）内用气场所、燃气燃烧器具进行免费入户安全检查。</w:t>
      </w:r>
    </w:p>
    <w:p>
      <w:pPr>
        <w:ind w:firstLine="480" w:firstLineChars="200"/>
        <w:rPr>
          <w:sz w:val="24"/>
          <w:szCs w:val="24"/>
        </w:rPr>
      </w:pPr>
      <w:r>
        <w:rPr>
          <w:rFonts w:hint="eastAsia"/>
          <w:sz w:val="24"/>
          <w:szCs w:val="24"/>
        </w:rPr>
        <w:t>4.</w:t>
      </w:r>
      <w:bookmarkStart w:id="1" w:name="_Hlk110164243"/>
      <w:r>
        <w:rPr>
          <w:rFonts w:hint="eastAsia"/>
          <w:sz w:val="24"/>
          <w:szCs w:val="24"/>
        </w:rPr>
        <w:t>乙方应向甲方</w:t>
      </w:r>
      <w:r>
        <w:rPr>
          <w:sz w:val="24"/>
          <w:szCs w:val="24"/>
        </w:rPr>
        <w:t>发放安全用气手册</w:t>
      </w:r>
      <w:r>
        <w:rPr>
          <w:rFonts w:hint="eastAsia"/>
          <w:sz w:val="24"/>
          <w:szCs w:val="24"/>
        </w:rPr>
        <w:t>，</w:t>
      </w:r>
      <w:r>
        <w:rPr>
          <w:sz w:val="24"/>
          <w:szCs w:val="24"/>
        </w:rPr>
        <w:t>宣传安全使用常识，指导</w:t>
      </w:r>
      <w:r>
        <w:rPr>
          <w:rFonts w:hint="eastAsia"/>
          <w:sz w:val="24"/>
          <w:szCs w:val="24"/>
        </w:rPr>
        <w:t>甲</w:t>
      </w:r>
      <w:r>
        <w:rPr>
          <w:sz w:val="24"/>
          <w:szCs w:val="24"/>
        </w:rPr>
        <w:t>方安全使用燃气。</w:t>
      </w:r>
      <w:bookmarkEnd w:id="1"/>
    </w:p>
    <w:p>
      <w:pPr>
        <w:ind w:firstLine="480" w:firstLineChars="200"/>
        <w:rPr>
          <w:sz w:val="24"/>
          <w:szCs w:val="24"/>
        </w:rPr>
      </w:pPr>
      <w:r>
        <w:rPr>
          <w:rFonts w:hint="eastAsia"/>
          <w:sz w:val="24"/>
          <w:szCs w:val="24"/>
        </w:rPr>
        <w:t>5.因甲方原因导致气瓶毁损、丢失的，乙方扣减气瓶押金；甲方需要继续用气的，须补足气瓶押金，乙方提供合格气瓶。</w:t>
      </w:r>
    </w:p>
    <w:p>
      <w:pPr>
        <w:ind w:firstLine="480" w:firstLineChars="200"/>
        <w:rPr>
          <w:sz w:val="24"/>
          <w:szCs w:val="24"/>
        </w:rPr>
      </w:pPr>
      <w:r>
        <w:rPr>
          <w:rFonts w:hint="eastAsia"/>
          <w:sz w:val="24"/>
          <w:szCs w:val="24"/>
        </w:rPr>
        <w:t>6.甲方使用的气瓶在检验周期、报废期限到期前三十日的，乙方应通知甲方将气瓶送交乙方。</w:t>
      </w:r>
    </w:p>
    <w:p>
      <w:pPr>
        <w:ind w:firstLine="480" w:firstLineChars="200"/>
        <w:rPr>
          <w:sz w:val="24"/>
          <w:szCs w:val="24"/>
        </w:rPr>
      </w:pPr>
      <w:r>
        <w:rPr>
          <w:rFonts w:hint="eastAsia"/>
          <w:sz w:val="24"/>
          <w:szCs w:val="24"/>
        </w:rPr>
        <w:t>7.乙方提供24小时售气服务，在售气网点和营业场所等主动向甲方公示服务质量承诺和相关收费标准。</w:t>
      </w:r>
    </w:p>
    <w:p>
      <w:pPr>
        <w:ind w:firstLine="480" w:firstLineChars="200"/>
        <w:rPr>
          <w:sz w:val="24"/>
          <w:szCs w:val="24"/>
        </w:rPr>
      </w:pPr>
      <w:r>
        <w:rPr>
          <w:rFonts w:hint="eastAsia"/>
          <w:sz w:val="24"/>
          <w:szCs w:val="24"/>
        </w:rPr>
        <w:t>8.乙方为甲方配送上门时，乙方应登记甲方气瓶接收人的身份信息，并实行信息化管理。</w:t>
      </w:r>
    </w:p>
    <w:p>
      <w:pPr>
        <w:ind w:firstLine="480" w:firstLineChars="200"/>
        <w:rPr>
          <w:sz w:val="24"/>
          <w:szCs w:val="24"/>
        </w:rPr>
      </w:pPr>
      <w:r>
        <w:rPr>
          <w:rFonts w:hint="eastAsia"/>
          <w:sz w:val="24"/>
          <w:szCs w:val="24"/>
        </w:rPr>
        <w:t>9.乙方发现甲方用气场所、燃气燃烧器具等存在安全隐患的，应书面告知整改建议，并应甲方要求提供相应的整改服务，甲方承担相应费用。</w:t>
      </w:r>
    </w:p>
    <w:p>
      <w:pPr>
        <w:ind w:firstLine="480" w:firstLineChars="200"/>
        <w:rPr>
          <w:sz w:val="24"/>
          <w:szCs w:val="24"/>
        </w:rPr>
      </w:pPr>
      <w:r>
        <w:rPr>
          <w:rFonts w:hint="eastAsia"/>
          <w:sz w:val="24"/>
          <w:szCs w:val="24"/>
        </w:rPr>
        <w:t>10.乙方可为甲方提供代办液化气综合保险业务。</w:t>
      </w:r>
    </w:p>
    <w:p>
      <w:pPr>
        <w:ind w:firstLine="480" w:firstLineChars="200"/>
        <w:rPr>
          <w:sz w:val="24"/>
          <w:szCs w:val="24"/>
        </w:rPr>
      </w:pPr>
      <w:r>
        <w:rPr>
          <w:rFonts w:hint="eastAsia"/>
          <w:sz w:val="24"/>
          <w:szCs w:val="24"/>
        </w:rPr>
        <w:t>11.甲方禁止实施下列行为：</w:t>
      </w:r>
    </w:p>
    <w:p>
      <w:pPr>
        <w:ind w:firstLine="480" w:firstLineChars="200"/>
        <w:rPr>
          <w:sz w:val="24"/>
          <w:szCs w:val="24"/>
        </w:rPr>
      </w:pPr>
      <w:r>
        <w:rPr>
          <w:rFonts w:hint="eastAsia"/>
          <w:sz w:val="24"/>
          <w:szCs w:val="24"/>
        </w:rPr>
        <w:t>（1）利用气瓶倒装燃气，摔、砸、滚动、倒置气瓶，加热气瓶、倾倒瓶内残液或者拆修瓶阀等附件；</w:t>
      </w:r>
    </w:p>
    <w:p>
      <w:pPr>
        <w:ind w:firstLine="480" w:firstLineChars="200"/>
        <w:rPr>
          <w:sz w:val="24"/>
          <w:szCs w:val="24"/>
        </w:rPr>
      </w:pPr>
      <w:r>
        <w:rPr>
          <w:rFonts w:hint="eastAsia"/>
          <w:sz w:val="24"/>
          <w:szCs w:val="24"/>
        </w:rPr>
        <w:t>（2）发现燃气设施或者燃气燃烧器具异常、燃气泄漏时，在现场使用明火、开关电器或者拨打电话；</w:t>
      </w:r>
    </w:p>
    <w:p>
      <w:pPr>
        <w:ind w:firstLine="480" w:firstLineChars="200"/>
        <w:rPr>
          <w:sz w:val="24"/>
          <w:szCs w:val="24"/>
        </w:rPr>
      </w:pPr>
      <w:r>
        <w:rPr>
          <w:rFonts w:hint="eastAsia"/>
          <w:sz w:val="24"/>
          <w:szCs w:val="24"/>
        </w:rPr>
        <w:t>（3）无正当理由拒绝入户安全检查，或者拒不整改用气安全隐患；</w:t>
      </w:r>
    </w:p>
    <w:p>
      <w:pPr>
        <w:ind w:firstLine="480" w:firstLineChars="200"/>
        <w:rPr>
          <w:sz w:val="24"/>
          <w:szCs w:val="24"/>
        </w:rPr>
      </w:pPr>
      <w:r>
        <w:rPr>
          <w:rFonts w:hint="eastAsia"/>
          <w:sz w:val="24"/>
          <w:szCs w:val="24"/>
        </w:rPr>
        <w:t>（4）安装、使用不带熄火保护功能或使用期限超过8年的燃气燃烧器具；</w:t>
      </w:r>
    </w:p>
    <w:p>
      <w:pPr>
        <w:ind w:firstLine="480" w:firstLineChars="200"/>
        <w:rPr>
          <w:sz w:val="24"/>
          <w:szCs w:val="24"/>
        </w:rPr>
      </w:pPr>
      <w:r>
        <w:rPr>
          <w:rFonts w:hint="eastAsia"/>
          <w:sz w:val="24"/>
          <w:szCs w:val="24"/>
        </w:rPr>
        <w:t>（5）严禁在同一房间内同时使用液化气和其他气源及明火（如煤火、柴火等）；</w:t>
      </w:r>
    </w:p>
    <w:p>
      <w:pPr>
        <w:ind w:firstLine="480" w:firstLineChars="200"/>
        <w:rPr>
          <w:sz w:val="24"/>
          <w:szCs w:val="24"/>
        </w:rPr>
      </w:pPr>
      <w:r>
        <w:rPr>
          <w:rFonts w:hint="eastAsia"/>
          <w:sz w:val="24"/>
          <w:szCs w:val="24"/>
        </w:rPr>
        <w:t>（6）禁止在地下、半地下空间、有人员居住的房间、高层建筑（2</w:t>
      </w:r>
      <w:r>
        <w:rPr>
          <w:sz w:val="24"/>
          <w:szCs w:val="24"/>
        </w:rPr>
        <w:t>7</w:t>
      </w:r>
      <w:r>
        <w:rPr>
          <w:rFonts w:hint="eastAsia"/>
          <w:sz w:val="24"/>
          <w:szCs w:val="24"/>
        </w:rPr>
        <w:t>米以上）内使用液化石油气。</w:t>
      </w:r>
    </w:p>
    <w:p>
      <w:pPr>
        <w:ind w:firstLine="480" w:firstLineChars="200"/>
        <w:rPr>
          <w:rFonts w:eastAsia="黑体" w:cs="黑体"/>
          <w:sz w:val="24"/>
          <w:szCs w:val="24"/>
        </w:rPr>
      </w:pPr>
      <w:r>
        <w:rPr>
          <w:rFonts w:hint="eastAsia" w:eastAsia="黑体" w:cs="黑体"/>
          <w:sz w:val="24"/>
          <w:szCs w:val="24"/>
        </w:rPr>
        <w:t>二、违约责任</w:t>
      </w:r>
    </w:p>
    <w:p>
      <w:pPr>
        <w:ind w:firstLine="480" w:firstLineChars="200"/>
        <w:rPr>
          <w:sz w:val="24"/>
          <w:szCs w:val="24"/>
        </w:rPr>
      </w:pPr>
      <w:r>
        <w:rPr>
          <w:rFonts w:hint="eastAsia"/>
          <w:sz w:val="24"/>
          <w:szCs w:val="24"/>
        </w:rPr>
        <w:t>1.甲方拒绝乙方入户安全检查、拒不整改危及公共安全的燃气隐患并经劝阻无效的，乙方在履行书面告知义务后，可暂停售气。</w:t>
      </w:r>
    </w:p>
    <w:p>
      <w:pPr>
        <w:ind w:firstLine="480" w:firstLineChars="200"/>
        <w:rPr>
          <w:sz w:val="24"/>
          <w:szCs w:val="24"/>
        </w:rPr>
      </w:pPr>
      <w:r>
        <w:rPr>
          <w:rFonts w:hint="eastAsia"/>
          <w:sz w:val="24"/>
          <w:szCs w:val="24"/>
        </w:rPr>
        <w:t>2.甲方违反法律法规、标准规范、安全用气须知以及本合同规定使用液化气造成事故的，由甲方承担责任；给其他方造成损失的，甲方应承担赔偿责任。</w:t>
      </w:r>
    </w:p>
    <w:p>
      <w:pPr>
        <w:ind w:firstLine="480" w:firstLineChars="200"/>
        <w:rPr>
          <w:sz w:val="24"/>
          <w:szCs w:val="24"/>
        </w:rPr>
      </w:pPr>
      <w:r>
        <w:rPr>
          <w:rFonts w:hint="eastAsia"/>
          <w:sz w:val="24"/>
          <w:szCs w:val="24"/>
        </w:rPr>
        <w:t>3.乙方未按照约定周期及作业内容进行安全巡检、发现甲方用气场所和燃气燃烧器具存在安全隐患未向甲方书面告知，导致发生燃气安全事故，给甲方和其他方造成损失的，乙方应承担相应赔偿责任。</w:t>
      </w:r>
    </w:p>
    <w:p>
      <w:pPr>
        <w:ind w:firstLine="480" w:firstLineChars="200"/>
        <w:rPr>
          <w:sz w:val="24"/>
          <w:szCs w:val="24"/>
        </w:rPr>
      </w:pPr>
      <w:r>
        <w:rPr>
          <w:rFonts w:hint="eastAsia"/>
          <w:sz w:val="24"/>
          <w:szCs w:val="24"/>
        </w:rPr>
        <w:t>4.因乙方提供的燃气不符合国家标准，导致甲方在用气过程中产生安全事故，造成人身伤害或死亡的，由乙方承担全部责任，并赔偿相应损失。</w:t>
      </w:r>
    </w:p>
    <w:p>
      <w:pPr>
        <w:ind w:firstLine="480" w:firstLineChars="200"/>
        <w:rPr>
          <w:sz w:val="24"/>
          <w:szCs w:val="24"/>
        </w:rPr>
      </w:pPr>
      <w:r>
        <w:rPr>
          <w:rFonts w:hint="eastAsia"/>
          <w:sz w:val="24"/>
          <w:szCs w:val="24"/>
        </w:rPr>
        <w:t>5.甲方向本合同约定以外的单位购买液化石油气的，本合同自动解除，乙方同时向甲方所在的街道乡镇报告，产生的后果由甲方承担。</w:t>
      </w:r>
    </w:p>
    <w:p>
      <w:pPr>
        <w:ind w:firstLine="480" w:firstLineChars="200"/>
        <w:rPr>
          <w:rFonts w:eastAsia="黑体" w:cs="黑体"/>
          <w:sz w:val="24"/>
          <w:szCs w:val="24"/>
        </w:rPr>
      </w:pPr>
      <w:r>
        <w:rPr>
          <w:rFonts w:hint="eastAsia" w:eastAsia="黑体" w:cs="黑体"/>
          <w:sz w:val="24"/>
          <w:szCs w:val="24"/>
        </w:rPr>
        <w:t>三、合同解除</w:t>
      </w:r>
    </w:p>
    <w:p>
      <w:pPr>
        <w:ind w:firstLine="480" w:firstLineChars="200"/>
        <w:rPr>
          <w:sz w:val="24"/>
          <w:szCs w:val="24"/>
        </w:rPr>
      </w:pPr>
      <w:r>
        <w:rPr>
          <w:rFonts w:hint="eastAsia"/>
          <w:sz w:val="24"/>
          <w:szCs w:val="24"/>
        </w:rPr>
        <w:t>履行期内甲方可随时要求终止合同。</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2Yzc0ZGU4NzhjNzk3NmEzOWVmOTg2ZDJiM2NkNDUifQ=="/>
  </w:docVars>
  <w:rsids>
    <w:rsidRoot w:val="0ED57913"/>
    <w:rsid w:val="00204F4E"/>
    <w:rsid w:val="004935A8"/>
    <w:rsid w:val="00612C56"/>
    <w:rsid w:val="00771E14"/>
    <w:rsid w:val="00877D42"/>
    <w:rsid w:val="008B450B"/>
    <w:rsid w:val="00913EC4"/>
    <w:rsid w:val="00990A68"/>
    <w:rsid w:val="00A1557E"/>
    <w:rsid w:val="00AB4843"/>
    <w:rsid w:val="00B155BE"/>
    <w:rsid w:val="00B22F18"/>
    <w:rsid w:val="00BC697C"/>
    <w:rsid w:val="00DD0C40"/>
    <w:rsid w:val="00E16110"/>
    <w:rsid w:val="00E978AE"/>
    <w:rsid w:val="0ED57913"/>
    <w:rsid w:val="2CFE77AA"/>
    <w:rsid w:val="3C260F06"/>
    <w:rsid w:val="442773A8"/>
    <w:rsid w:val="55CB7476"/>
    <w:rsid w:val="61BB24C2"/>
    <w:rsid w:val="77FE332C"/>
    <w:rsid w:val="797271EE"/>
    <w:rsid w:val="79FE4C10"/>
    <w:rsid w:val="7AB7203F"/>
    <w:rsid w:val="7FE78EF0"/>
    <w:rsid w:val="7FFDBA2D"/>
    <w:rsid w:val="95FE9B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仿宋_GB2312" w:cs="Times New Roman"/>
      <w:snapToGrid w:val="0"/>
      <w:kern w:val="32"/>
      <w:sz w:val="32"/>
      <w:szCs w:val="3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ind w:left="114"/>
    </w:pPr>
    <w:rPr>
      <w:rFonts w:hint="eastAsia" w:eastAsia="宋体"/>
      <w:sz w:val="30"/>
    </w:rPr>
  </w:style>
  <w:style w:type="paragraph" w:customStyle="1" w:styleId="3">
    <w:name w:val="toc 11"/>
    <w:next w:val="1"/>
    <w:qFormat/>
    <w:uiPriority w:val="0"/>
    <w:pPr>
      <w:wordWrap w:val="0"/>
      <w:jc w:val="both"/>
    </w:pPr>
    <w:rPr>
      <w:rFonts w:ascii="Times New Roman" w:hAnsi="Times New Roman" w:eastAsia="宋体" w:cs="Times New Roman"/>
      <w:sz w:val="21"/>
      <w:szCs w:val="22"/>
      <w:lang w:val="en-US" w:eastAsia="zh-CN" w:bidi="ar-SA"/>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363</Words>
  <Characters>2075</Characters>
  <Lines>17</Lines>
  <Paragraphs>4</Paragraphs>
  <TotalTime>1</TotalTime>
  <ScaleCrop>false</ScaleCrop>
  <LinksUpToDate>false</LinksUpToDate>
  <CharactersWithSpaces>2434</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2021-01-20T10:47:00Z</dcterms:created>
  <dc:creator>LRL</dc:creator>
  <cp:lastModifiedBy>user</cp:lastModifiedBy>
  <dcterms:modified xsi:type="dcterms:W3CDTF">2022-09-05T21:15:22Z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501A8F1E9ED54249962DF76728A763C0</vt:lpwstr>
  </property>
</Properties>
</file>