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70C6D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ECAE94A">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6C62D05">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5A9F2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613E2CF">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5DB94616">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6B4C265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2B24E8CD">
            <w:pPr>
              <w:pStyle w:val="149"/>
              <w:framePr w:w="0" w:hRule="auto" w:wrap="auto" w:vAnchor="margin" w:hAnchor="text" w:xAlign="left" w:yAlign="inline"/>
              <w:rPr>
                <w:rFonts w:ascii="宋体" w:hAnsi="宋体"/>
                <w:sz w:val="28"/>
                <w:szCs w:val="28"/>
              </w:rPr>
            </w:pPr>
            <w:bookmarkStart w:id="2" w:name="_Hlk26473981"/>
            <w:r>
              <w:rPr>
                <w:rFonts w:hint="eastAsia"/>
              </w:rPr>
              <w:t>DB</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2101</w:t>
            </w:r>
            <w:r>
              <w:fldChar w:fldCharType="end"/>
            </w:r>
            <w:bookmarkEnd w:id="3"/>
          </w:p>
        </w:tc>
      </w:tr>
    </w:tbl>
    <w:p w14:paraId="588CE92F">
      <w:pPr>
        <w:pStyle w:val="180"/>
        <w:framePr w:w="9639" w:h="624" w:hRule="exact" w:hSpace="181" w:vSpace="181" w:wrap="around" w:vAnchor="text"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沈阳市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04B1C74F">
      <w:pPr>
        <w:pStyle w:val="68"/>
        <w:framePr w:wrap="around"/>
        <w:outlineLvl w:val="0"/>
        <w:rPr>
          <w:lang w:val="fr-FR"/>
        </w:rPr>
      </w:pPr>
      <w:bookmarkStart w:id="5" w:name="_Toc16500"/>
      <w:bookmarkStart w:id="6" w:name="_Toc20755"/>
      <w:bookmarkStart w:id="7" w:name="_Toc1352"/>
      <w:bookmarkStart w:id="8" w:name="_Toc15877"/>
      <w:bookmarkStart w:id="9" w:name="_Toc26261"/>
      <w:bookmarkStart w:id="10" w:name="_Toc8853"/>
      <w:r>
        <w:rPr>
          <w:lang w:val="fr-FR"/>
        </w:rPr>
        <w:t>DB</w:t>
      </w:r>
      <w:r>
        <w:fldChar w:fldCharType="begin">
          <w:ffData>
            <w:name w:val="文字1"/>
            <w:enabled/>
            <w:calcOnExit w:val="0"/>
            <w:textInput>
              <w:default w:val="XX/T"/>
            </w:textInput>
          </w:ffData>
        </w:fldChar>
      </w:r>
      <w:bookmarkStart w:id="11" w:name="文字1"/>
      <w:r>
        <w:rPr>
          <w:lang w:val="fr-FR"/>
        </w:rPr>
        <w:instrText xml:space="preserve"> FORMTEXT </w:instrText>
      </w:r>
      <w:r>
        <w:fldChar w:fldCharType="separate"/>
      </w:r>
      <w:r>
        <w:rPr>
          <w:rFonts w:hint="eastAsia"/>
        </w:rPr>
        <w:t>2101</w:t>
      </w:r>
      <w:r>
        <w:rPr>
          <w:lang w:val="fr-FR"/>
        </w:rPr>
        <w:t>/T</w:t>
      </w:r>
      <w:r>
        <w:fldChar w:fldCharType="end"/>
      </w:r>
      <w:bookmarkEnd w:id="11"/>
      <w:r>
        <w:rPr>
          <w:lang w:val="fr-FR"/>
        </w:rPr>
        <w:t xml:space="preserve"> </w:t>
      </w:r>
      <w:r>
        <w:fldChar w:fldCharType="begin">
          <w:ffData>
            <w:name w:val="NSTD_CODE_F"/>
            <w:enabled/>
            <w:calcOnExit w:val="0"/>
            <w:textInput>
              <w:default w:val="XXXX"/>
            </w:textInput>
          </w:ffData>
        </w:fldChar>
      </w:r>
      <w:bookmarkStart w:id="12" w:name="NSTD_CODE_F"/>
      <w:r>
        <w:rPr>
          <w:lang w:val="fr-FR"/>
        </w:rPr>
        <w:instrText xml:space="preserve"> FORMTEXT </w:instrText>
      </w:r>
      <w:r>
        <w:fldChar w:fldCharType="separate"/>
      </w:r>
      <w:r>
        <w:rPr>
          <w:lang w:val="fr-FR"/>
        </w:rPr>
        <w:t>XXXX</w:t>
      </w:r>
      <w:r>
        <w:fldChar w:fldCharType="end"/>
      </w:r>
      <w:bookmarkEnd w:id="12"/>
      <w:r>
        <w:rPr>
          <w:rFonts w:hAnsi="黑体"/>
          <w:lang w:val="fr-FR"/>
        </w:rPr>
        <w:t>—</w:t>
      </w:r>
      <w:r>
        <w:fldChar w:fldCharType="begin">
          <w:ffData>
            <w:name w:val="NSTD_CODE_B"/>
            <w:enabled/>
            <w:calcOnExit w:val="0"/>
            <w:textInput>
              <w:default w:val="XXXX"/>
            </w:textInput>
          </w:ffData>
        </w:fldChar>
      </w:r>
      <w:bookmarkStart w:id="13" w:name="NSTD_CODE_B"/>
      <w:r>
        <w:rPr>
          <w:lang w:val="fr-FR"/>
        </w:rPr>
        <w:instrText xml:space="preserve"> FORMTEXT </w:instrText>
      </w:r>
      <w:r>
        <w:fldChar w:fldCharType="separate"/>
      </w:r>
      <w:r>
        <w:rPr>
          <w:rFonts w:hint="eastAsia"/>
          <w:lang w:val="fr-FR"/>
        </w:rPr>
        <w:t>2</w:t>
      </w:r>
      <w:r>
        <w:rPr>
          <w:rFonts w:hint="eastAsia"/>
        </w:rPr>
        <w:t>024</w:t>
      </w:r>
      <w:r>
        <w:fldChar w:fldCharType="end"/>
      </w:r>
      <w:bookmarkEnd w:id="5"/>
      <w:bookmarkEnd w:id="6"/>
      <w:bookmarkEnd w:id="7"/>
      <w:bookmarkEnd w:id="8"/>
      <w:bookmarkEnd w:id="9"/>
      <w:bookmarkEnd w:id="10"/>
      <w:bookmarkEnd w:id="13"/>
    </w:p>
    <w:p w14:paraId="64C59EB9">
      <w:pPr>
        <w:pStyle w:val="122"/>
        <w:framePr w:wrap="around"/>
        <w:rPr>
          <w:rFonts w:hAnsi="黑体"/>
        </w:rPr>
      </w:pPr>
      <w:r>
        <w:rPr>
          <w:rFonts w:hAnsi="黑体"/>
        </w:rPr>
        <w:fldChar w:fldCharType="begin">
          <w:ffData>
            <w:name w:val="OSTD_CODE"/>
            <w:enabled/>
            <w:calcOnExit w:val="0"/>
            <w:textInput/>
          </w:ffData>
        </w:fldChar>
      </w:r>
      <w:bookmarkStart w:id="14"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14"/>
    </w:p>
    <w:p w14:paraId="57535046">
      <w:pPr>
        <w:spacing w:line="240" w:lineRule="auto"/>
        <w:rPr>
          <w:rFonts w:ascii="黑体" w:hAnsi="黑体" w:eastAsia="黑体"/>
          <w:kern w:val="0"/>
          <w:sz w:val="10"/>
          <w:szCs w:val="10"/>
        </w:rPr>
      </w:pPr>
      <w:r>
        <w:rPr>
          <w:rFonts w:ascii="黑体" w:hAnsi="黑体" w:eastAsia="黑体"/>
          <w:kern w:val="0"/>
          <w:sz w:val="10"/>
          <w:szCs w:val="10"/>
        </w:rPr>
        <w:pict>
          <v:line id="_x0000_s1026" o:spid="_x0000_s1026" o:spt="20" style="position:absolute;left:0pt;margin-left:70.9pt;margin-top:212.65pt;height:0pt;width:481.9pt;mso-position-horizontal-relative:page;mso-position-vertical-relative:page;z-index:251659264;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path arrowok="t"/>
            <v:fill focussize="0,0"/>
            <v:stroke/>
            <v:imagedata o:title=""/>
            <o:lock v:ext="edit"/>
          </v:line>
        </w:pict>
      </w:r>
    </w:p>
    <w:p w14:paraId="72645974">
      <w:pPr>
        <w:pStyle w:val="180"/>
        <w:framePr w:w="9639" w:h="6976" w:hRule="exact" w:hSpace="0" w:vSpace="0" w:wrap="around" w:vAnchor="text" w:hAnchor="page" w:y="6408"/>
        <w:jc w:val="center"/>
        <w:rPr>
          <w:rFonts w:ascii="黑体" w:hAnsi="黑体" w:eastAsia="黑体"/>
          <w:b w:val="0"/>
          <w:bCs w:val="0"/>
          <w:w w:val="100"/>
        </w:rPr>
      </w:pPr>
    </w:p>
    <w:p w14:paraId="4B024BD5">
      <w:pPr>
        <w:pStyle w:val="154"/>
        <w:framePr w:h="6974" w:hRule="exact" w:wrap="around" w:x="1419" w:anchorLock="1"/>
      </w:pPr>
      <w:r>
        <w:fldChar w:fldCharType="begin">
          <w:ffData>
            <w:name w:val="CSTD_NAME"/>
            <w:enabled/>
            <w:calcOnExit w:val="0"/>
            <w:textInput>
              <w:default w:val="点击此处添加标准名称"/>
            </w:textInput>
          </w:ffData>
        </w:fldChar>
      </w:r>
      <w:bookmarkStart w:id="15" w:name="CSTD_NAME"/>
      <w:r>
        <w:instrText xml:space="preserve"> FORMTEXT </w:instrText>
      </w:r>
      <w:r>
        <w:fldChar w:fldCharType="separate"/>
      </w:r>
      <w:r>
        <w:rPr>
          <w:rFonts w:hint="eastAsia"/>
        </w:rPr>
        <w:t>城镇燃气经营企业安全风险分级管控和隐患排查治理工作规范</w:t>
      </w:r>
      <w:r>
        <w:fldChar w:fldCharType="end"/>
      </w:r>
      <w:bookmarkEnd w:id="15"/>
    </w:p>
    <w:p w14:paraId="398040E2">
      <w:pPr>
        <w:framePr w:w="9639" w:h="6974" w:hRule="exact" w:wrap="around" w:vAnchor="page" w:hAnchor="page" w:x="1419" w:y="6408" w:anchorLock="1"/>
        <w:ind w:left="-1418"/>
      </w:pPr>
    </w:p>
    <w:p w14:paraId="69815F02">
      <w:pPr>
        <w:pStyle w:val="140"/>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6" w:name="ESTD_NAME"/>
      <w:r>
        <w:rPr>
          <w:rFonts w:eastAsia="黑体"/>
          <w:szCs w:val="28"/>
        </w:rPr>
        <w:instrText xml:space="preserve"> FORMTEXT </w:instrText>
      </w:r>
      <w:r>
        <w:rPr>
          <w:rFonts w:eastAsia="黑体"/>
          <w:szCs w:val="28"/>
        </w:rPr>
        <w:fldChar w:fldCharType="separate"/>
      </w:r>
      <w:r>
        <w:rPr>
          <w:rFonts w:hint="eastAsia" w:eastAsia="黑体"/>
          <w:szCs w:val="28"/>
        </w:rPr>
        <w:t>Specifications for graded management and control of safety risks and hidden danger investigation and governance of urban gas trading enterprises</w:t>
      </w:r>
      <w:r>
        <w:rPr>
          <w:rFonts w:eastAsia="黑体"/>
          <w:szCs w:val="28"/>
        </w:rPr>
        <w:fldChar w:fldCharType="end"/>
      </w:r>
      <w:bookmarkEnd w:id="16"/>
    </w:p>
    <w:p w14:paraId="45E54B69">
      <w:pPr>
        <w:framePr w:w="9639" w:h="6974" w:hRule="exact" w:wrap="around" w:vAnchor="page" w:hAnchor="page" w:x="1419" w:y="6408" w:anchorLock="1"/>
        <w:spacing w:line="760" w:lineRule="exact"/>
        <w:ind w:left="-1418"/>
      </w:pPr>
    </w:p>
    <w:p w14:paraId="505A6648">
      <w:pPr>
        <w:pStyle w:val="140"/>
        <w:framePr w:w="9639" w:h="6974" w:hRule="exact" w:wrap="around" w:vAnchor="page" w:hAnchor="page" w:x="1419" w:y="6408" w:anchorLock="1"/>
        <w:textAlignment w:val="bottom"/>
        <w:rPr>
          <w:rFonts w:eastAsia="黑体"/>
          <w:szCs w:val="28"/>
        </w:rPr>
      </w:pPr>
    </w:p>
    <w:p w14:paraId="4BF50BC5">
      <w:pPr>
        <w:pStyle w:val="140"/>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7" w:name="下拉1"/>
      <w:r>
        <w:rPr>
          <w:sz w:val="24"/>
          <w:szCs w:val="28"/>
        </w:rPr>
        <w:instrText xml:space="preserve"> FORMDROPDOWN </w:instrText>
      </w:r>
      <w:r>
        <w:rPr>
          <w:sz w:val="24"/>
          <w:szCs w:val="28"/>
        </w:rPr>
        <w:fldChar w:fldCharType="separate"/>
      </w:r>
      <w:r>
        <w:rPr>
          <w:sz w:val="24"/>
          <w:szCs w:val="28"/>
        </w:rPr>
        <w:fldChar w:fldCharType="end"/>
      </w:r>
      <w:bookmarkEnd w:id="17"/>
    </w:p>
    <w:p w14:paraId="205038B1">
      <w:pPr>
        <w:pStyle w:val="14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8"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8"/>
    </w:p>
    <w:p w14:paraId="07270287">
      <w:pPr>
        <w:pStyle w:val="140"/>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9" w:name="下拉2"/>
      <w:r>
        <w:rPr>
          <w:b/>
          <w:sz w:val="21"/>
          <w:szCs w:val="28"/>
        </w:rPr>
        <w:instrText xml:space="preserve"> FORMDROPDOWN </w:instrText>
      </w:r>
      <w:r>
        <w:rPr>
          <w:b/>
          <w:sz w:val="21"/>
          <w:szCs w:val="28"/>
        </w:rPr>
        <w:fldChar w:fldCharType="separate"/>
      </w:r>
      <w:r>
        <w:rPr>
          <w:b/>
          <w:sz w:val="21"/>
          <w:szCs w:val="28"/>
        </w:rPr>
        <w:fldChar w:fldCharType="end"/>
      </w:r>
      <w:bookmarkEnd w:id="19"/>
    </w:p>
    <w:p w14:paraId="6CDB7F39">
      <w:pPr>
        <w:pStyle w:val="185"/>
        <w:framePr w:wrap="around" w:y="14176"/>
      </w:pPr>
      <w:r>
        <w:rPr>
          <w:rFonts w:ascii="黑体"/>
        </w:rPr>
        <w:fldChar w:fldCharType="begin">
          <w:ffData>
            <w:name w:val="PLSH_DATE_Y"/>
            <w:enabled/>
            <w:calcOnExit w:val="0"/>
            <w:textInput>
              <w:default w:val="XXXX"/>
              <w:maxLength w:val="4"/>
            </w:textInput>
          </w:ffData>
        </w:fldChar>
      </w:r>
      <w:bookmarkStart w:id="20" w:name="PLSH_DATE_Y"/>
      <w:r>
        <w:rPr>
          <w:rFonts w:ascii="黑体"/>
        </w:rPr>
        <w:instrText xml:space="preserve"> FORMTEXT </w:instrText>
      </w:r>
      <w:r>
        <w:rPr>
          <w:rFonts w:ascii="黑体"/>
        </w:rPr>
        <w:fldChar w:fldCharType="separate"/>
      </w:r>
      <w:r>
        <w:rPr>
          <w:rFonts w:hint="eastAsia" w:ascii="黑体"/>
        </w:rPr>
        <w:t>2024</w:t>
      </w:r>
      <w:r>
        <w:rPr>
          <w:rFonts w:ascii="黑体"/>
        </w:rPr>
        <w:fldChar w:fldCharType="end"/>
      </w:r>
      <w:bookmarkEnd w:id="2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2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2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2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2"/>
      <w:r>
        <w:rPr>
          <w:rFonts w:hint="eastAsia"/>
        </w:rPr>
        <w:t>发布</w:t>
      </w:r>
    </w:p>
    <w:p w14:paraId="652641AA">
      <w:pPr>
        <w:pStyle w:val="89"/>
        <w:framePr w:wrap="around" w:y="14176"/>
      </w:pPr>
      <w:r>
        <w:rPr>
          <w:rFonts w:ascii="黑体"/>
        </w:rPr>
        <w:fldChar w:fldCharType="begin">
          <w:ffData>
            <w:name w:val="CROT_DATE_Y"/>
            <w:enabled/>
            <w:calcOnExit w:val="0"/>
            <w:textInput>
              <w:default w:val="XXXX"/>
              <w:maxLength w:val="4"/>
            </w:textInput>
          </w:ffData>
        </w:fldChar>
      </w:r>
      <w:bookmarkStart w:id="23" w:name="CROT_DATE_Y"/>
      <w:r>
        <w:rPr>
          <w:rFonts w:ascii="黑体"/>
        </w:rPr>
        <w:instrText xml:space="preserve"> FORMTEXT </w:instrText>
      </w:r>
      <w:r>
        <w:rPr>
          <w:rFonts w:ascii="黑体"/>
        </w:rPr>
        <w:fldChar w:fldCharType="separate"/>
      </w:r>
      <w:r>
        <w:rPr>
          <w:rFonts w:hint="eastAsia" w:ascii="黑体"/>
        </w:rPr>
        <w:t>2024</w:t>
      </w:r>
      <w:r>
        <w:rPr>
          <w:rFonts w:ascii="黑体"/>
        </w:rPr>
        <w:fldChar w:fldCharType="end"/>
      </w:r>
      <w:bookmarkEnd w:id="2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2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2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5"/>
      <w:r>
        <w:rPr>
          <w:rFonts w:hint="eastAsia"/>
        </w:rPr>
        <w:t>实施</w:t>
      </w:r>
    </w:p>
    <w:p w14:paraId="2B492B9F">
      <w:pPr>
        <w:pStyle w:val="215"/>
        <w:framePr w:w="5393" w:h="798" w:hRule="exact" w:hSpace="181" w:vSpace="181" w:wrap="around" w:vAnchor="page" w:hAnchor="page" w:x="2984" w:y="15206"/>
        <w:jc w:val="distribute"/>
        <w:rPr>
          <w:rFonts w:hAnsi="黑体"/>
        </w:rPr>
      </w:pPr>
      <w:bookmarkStart w:id="26" w:name="fm"/>
      <w:r>
        <w:rPr>
          <w:rFonts w:ascii="宋体" w:hAnsi="宋体" w:eastAsia="宋体"/>
          <w:b/>
          <w:color w:val="000000"/>
          <w:sz w:val="28"/>
          <w:szCs w:val="28"/>
        </w:rPr>
        <w:pict>
          <v:shape id="文本框 242" o:spid="_x0000_s1030" o:spt="202" type="#_x0000_t202" style="position:absolute;left:0pt;margin-left:271.2pt;margin-top:8.75pt;height:154pt;width:71.6pt;z-index:251661312;mso-width-relative:page;mso-height-relative:margin;mso-height-percent:200;" filled="f" stroked="t" coordsize="21600,21600" o:gfxdata="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32u0raAAAACgEAAA8AAAAAAAAAAQAgAAAA&#10;IgAAAGRycy9kb3ducmV2LnhtbFBLAQIUABQAAAAIAIdO4kAcHu5dQgIAAHYEAAAOAAAAAAAAAAEA&#10;IAAAACkBAABkcnMvZTJvRG9jLnhtbFBLBQYAAAAABgAGAFkBAADdBQAAAAA=&#10;">
            <v:path/>
            <v:fill on="f" focussize="0,0"/>
            <v:stroke color="#FFFFFF" joinstyle="miter"/>
            <v:imagedata o:title=""/>
            <o:lock v:ext="edit"/>
            <v:textbox style="mso-fit-shape-to-text:t;">
              <w:txbxContent>
                <w:p w14:paraId="6BAABB8B">
                  <w:pPr>
                    <w:widowControl/>
                    <w:adjustRightInd/>
                    <w:spacing w:line="0" w:lineRule="atLeast"/>
                    <w:rPr>
                      <w:rFonts w:ascii="黑体" w:hAnsi="黑体" w:eastAsia="黑体"/>
                      <w:bCs/>
                      <w:w w:val="135"/>
                      <w:kern w:val="0"/>
                      <w:sz w:val="36"/>
                      <w:szCs w:val="20"/>
                    </w:rPr>
                  </w:pPr>
                  <w:r>
                    <w:rPr>
                      <w:rFonts w:hint="eastAsia" w:ascii="黑体" w:hAnsi="黑体" w:eastAsia="黑体"/>
                      <w:bCs/>
                      <w:sz w:val="28"/>
                      <w:szCs w:val="28"/>
                    </w:rPr>
                    <w:t>发布</w:t>
                  </w:r>
                </w:p>
              </w:txbxContent>
            </v:textbox>
          </v:shape>
        </w:pict>
      </w:r>
      <w:r>
        <w:rPr>
          <w:rFonts w:hint="eastAsia" w:hAnsi="Calibri"/>
          <w:spacing w:val="20"/>
          <w:sz w:val="32"/>
          <w:szCs w:val="32"/>
          <w:shd w:val="clear" w:color="FFFFFF" w:fill="D9D9D9"/>
        </w:rPr>
        <w:fldChar w:fldCharType="begin">
          <w:ffData>
            <w:name w:val="fm"/>
            <w:enabled/>
            <w:calcOnExit w:val="0"/>
            <w:textInput>
              <w:default w:val="沈阳市城乡建设局&#10;沈阳市市场监督管理局"/>
            </w:textInput>
          </w:ffData>
        </w:fldChar>
      </w:r>
      <w:r>
        <w:rPr>
          <w:rFonts w:hint="eastAsia" w:hAnsi="Calibri"/>
          <w:spacing w:val="20"/>
          <w:sz w:val="32"/>
          <w:szCs w:val="32"/>
          <w:shd w:val="clear" w:color="FFFFFF" w:fill="D9D9D9"/>
        </w:rPr>
        <w:instrText xml:space="preserve">FORMTEXT</w:instrText>
      </w:r>
      <w:r>
        <w:rPr>
          <w:rFonts w:hint="eastAsia" w:hAnsi="Calibri"/>
          <w:spacing w:val="20"/>
          <w:sz w:val="32"/>
          <w:szCs w:val="32"/>
          <w:shd w:val="clear" w:color="FFFFFF" w:fill="D9D9D9"/>
        </w:rPr>
        <w:fldChar w:fldCharType="separate"/>
      </w:r>
      <w:r>
        <w:rPr>
          <w:rFonts w:hint="eastAsia" w:hAnsi="Calibri"/>
          <w:spacing w:val="20"/>
          <w:sz w:val="32"/>
          <w:szCs w:val="32"/>
          <w:shd w:val="clear" w:color="FFFFFF" w:fill="D9D9D9"/>
        </w:rPr>
        <w:t>沈阳市城乡建设局</w:t>
      </w:r>
      <w:r>
        <w:rPr>
          <w:rFonts w:hint="eastAsia" w:hAnsi="Calibri"/>
          <w:spacing w:val="20"/>
          <w:sz w:val="32"/>
          <w:szCs w:val="32"/>
          <w:shd w:val="clear" w:color="FFFFFF" w:fill="D9D9D9"/>
        </w:rPr>
        <w:cr/>
      </w:r>
      <w:r>
        <w:rPr>
          <w:rFonts w:hint="eastAsia" w:hAnsi="Calibri"/>
          <w:spacing w:val="20"/>
          <w:sz w:val="32"/>
          <w:szCs w:val="32"/>
          <w:shd w:val="clear" w:color="FFFFFF" w:fill="D9D9D9"/>
        </w:rPr>
        <w:t>沈阳市市场监督管理局</w:t>
      </w:r>
      <w:r>
        <w:rPr>
          <w:rFonts w:hint="eastAsia" w:hAnsi="Calibri"/>
          <w:spacing w:val="20"/>
          <w:sz w:val="32"/>
          <w:szCs w:val="32"/>
          <w:shd w:val="clear" w:color="FFFFFF" w:fill="D9D9D9"/>
        </w:rPr>
        <w:fldChar w:fldCharType="end"/>
      </w:r>
      <w:bookmarkEnd w:id="26"/>
    </w:p>
    <w:p w14:paraId="40AEAAA7">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720" w:num="1"/>
          <w:titlePg/>
          <w:docGrid w:linePitch="312" w:charSpace="0"/>
        </w:sectPr>
      </w:pPr>
      <w:r>
        <w:rPr>
          <w:rFonts w:ascii="宋体" w:hAnsi="宋体"/>
          <w:sz w:val="28"/>
          <w:szCs w:val="28"/>
        </w:rPr>
        <w:pict>
          <v:line id="_x0000_s1029" o:spid="_x0000_s1029" o:spt="20" style="position:absolute;left:0pt;margin-left:70.85pt;margin-top:728.6pt;height:0pt;width:481.9pt;mso-position-horizontal-relative:page;mso-position-vertical-relative:page;z-index:251660288;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path arrowok="t"/>
            <v:fill focussize="0,0"/>
            <v:stroke/>
            <v:imagedata o:title=""/>
            <o:lock v:ext="edit"/>
            <w10:anchorlock/>
          </v:line>
        </w:pict>
      </w:r>
    </w:p>
    <w:p w14:paraId="40088F2C">
      <w:pPr>
        <w:pStyle w:val="160"/>
        <w:spacing w:before="560" w:after="474"/>
      </w:pPr>
      <w:bookmarkStart w:id="27" w:name="BookMark1"/>
      <w:bookmarkStart w:id="28" w:name="_Toc7708"/>
      <w:bookmarkStart w:id="29" w:name="_Toc8759"/>
      <w:r>
        <w:rPr>
          <w:rFonts w:hint="eastAsia"/>
          <w:spacing w:val="320"/>
        </w:rPr>
        <w:t>目</w:t>
      </w:r>
      <w:r>
        <w:rPr>
          <w:rFonts w:hint="eastAsia"/>
        </w:rPr>
        <w:t>次</w:t>
      </w:r>
    </w:p>
    <w:p w14:paraId="32099D86">
      <w:pPr>
        <w:pStyle w:val="19"/>
        <w:tabs>
          <w:tab w:val="right" w:leader="dot" w:pos="9355"/>
        </w:tabs>
        <w:rPr>
          <w:rFonts w:hAnsi="宋体" w:cs="宋体"/>
        </w:rPr>
      </w:pPr>
      <w:r>
        <w:rPr>
          <w:rFonts w:hint="eastAsia" w:hAnsi="宋体" w:cs="宋体"/>
        </w:rPr>
        <w:fldChar w:fldCharType="begin"/>
      </w:r>
      <w:r>
        <w:rPr>
          <w:rFonts w:hint="eastAsia" w:hAnsi="宋体" w:cs="宋体"/>
        </w:rPr>
        <w:instrText xml:space="preserve">TOC \o "1-2" \h \u </w:instrText>
      </w:r>
      <w:r>
        <w:rPr>
          <w:rFonts w:hint="eastAsia" w:hAnsi="宋体" w:cs="宋体"/>
        </w:rPr>
        <w:fldChar w:fldCharType="separate"/>
      </w:r>
      <w:r>
        <w:fldChar w:fldCharType="begin"/>
      </w:r>
      <w:r>
        <w:instrText xml:space="preserve"> HYPERLINK \l "_Toc25560" </w:instrText>
      </w:r>
      <w:r>
        <w:fldChar w:fldCharType="separate"/>
      </w:r>
      <w:r>
        <w:rPr>
          <w:rFonts w:hint="eastAsia" w:hAnsi="宋体" w:cs="宋体"/>
        </w:rPr>
        <w:t>前言</w:t>
      </w:r>
      <w:bookmarkStart w:id="131" w:name="_GoBack"/>
      <w:bookmarkEnd w:id="131"/>
      <w:r>
        <w:rPr>
          <w:rFonts w:hint="eastAsia" w:hAnsi="宋体" w:cs="宋体"/>
        </w:rPr>
        <w:tab/>
      </w:r>
      <w:r>
        <w:rPr>
          <w:rFonts w:hint="eastAsia" w:hAnsi="宋体" w:cs="宋体"/>
        </w:rPr>
        <w:fldChar w:fldCharType="begin"/>
      </w:r>
      <w:r>
        <w:rPr>
          <w:rFonts w:hint="eastAsia" w:hAnsi="宋体" w:cs="宋体"/>
        </w:rPr>
        <w:instrText xml:space="preserve"> PAGEREF _Toc25560 \h </w:instrText>
      </w:r>
      <w:r>
        <w:rPr>
          <w:rFonts w:hint="eastAsia" w:hAnsi="宋体" w:cs="宋体"/>
        </w:rPr>
        <w:fldChar w:fldCharType="separate"/>
      </w:r>
      <w:r>
        <w:rPr>
          <w:rFonts w:hint="eastAsia" w:hAnsi="宋体" w:cs="宋体"/>
        </w:rPr>
        <w:t>II</w:t>
      </w:r>
      <w:r>
        <w:rPr>
          <w:rFonts w:hint="eastAsia" w:hAnsi="宋体" w:cs="宋体"/>
        </w:rPr>
        <w:fldChar w:fldCharType="end"/>
      </w:r>
      <w:r>
        <w:rPr>
          <w:rFonts w:hint="eastAsia" w:hAnsi="宋体" w:cs="宋体"/>
        </w:rPr>
        <w:fldChar w:fldCharType="end"/>
      </w:r>
    </w:p>
    <w:p w14:paraId="10C6317F">
      <w:pPr>
        <w:pStyle w:val="19"/>
        <w:tabs>
          <w:tab w:val="right" w:leader="dot" w:pos="9355"/>
        </w:tabs>
        <w:rPr>
          <w:rFonts w:hAnsi="宋体" w:cs="宋体"/>
        </w:rPr>
      </w:pPr>
      <w:r>
        <w:fldChar w:fldCharType="begin"/>
      </w:r>
      <w:r>
        <w:instrText xml:space="preserve"> HYPERLINK \l "_Toc17351" </w:instrText>
      </w:r>
      <w:r>
        <w:fldChar w:fldCharType="separate"/>
      </w:r>
      <w:r>
        <w:rPr>
          <w:rFonts w:hint="eastAsia" w:hAnsi="宋体" w:cs="宋体"/>
        </w:rPr>
        <w:t>引言</w:t>
      </w:r>
      <w:r>
        <w:rPr>
          <w:rFonts w:hint="eastAsia" w:hAnsi="宋体" w:cs="宋体"/>
        </w:rPr>
        <w:tab/>
      </w:r>
      <w:r>
        <w:rPr>
          <w:rFonts w:hint="eastAsia" w:hAnsi="宋体" w:cs="宋体"/>
        </w:rPr>
        <w:fldChar w:fldCharType="begin"/>
      </w:r>
      <w:r>
        <w:rPr>
          <w:rFonts w:hint="eastAsia" w:hAnsi="宋体" w:cs="宋体"/>
        </w:rPr>
        <w:instrText xml:space="preserve"> PAGEREF _Toc17351 \h </w:instrText>
      </w:r>
      <w:r>
        <w:rPr>
          <w:rFonts w:hint="eastAsia" w:hAnsi="宋体" w:cs="宋体"/>
        </w:rPr>
        <w:fldChar w:fldCharType="separate"/>
      </w:r>
      <w:r>
        <w:rPr>
          <w:rFonts w:hint="eastAsia" w:hAnsi="宋体" w:cs="宋体"/>
        </w:rPr>
        <w:t>III</w:t>
      </w:r>
      <w:r>
        <w:rPr>
          <w:rFonts w:hint="eastAsia" w:hAnsi="宋体" w:cs="宋体"/>
        </w:rPr>
        <w:fldChar w:fldCharType="end"/>
      </w:r>
      <w:r>
        <w:rPr>
          <w:rFonts w:hint="eastAsia" w:hAnsi="宋体" w:cs="宋体"/>
        </w:rPr>
        <w:fldChar w:fldCharType="end"/>
      </w:r>
    </w:p>
    <w:p w14:paraId="3DEEDB45">
      <w:pPr>
        <w:pStyle w:val="19"/>
        <w:tabs>
          <w:tab w:val="right" w:leader="dot" w:pos="9355"/>
        </w:tabs>
        <w:rPr>
          <w:rFonts w:hAnsi="宋体" w:cs="宋体"/>
        </w:rPr>
      </w:pPr>
      <w:r>
        <w:fldChar w:fldCharType="begin"/>
      </w:r>
      <w:r>
        <w:instrText xml:space="preserve"> HYPERLINK \l "_Toc12378" </w:instrText>
      </w:r>
      <w:r>
        <w:fldChar w:fldCharType="separate"/>
      </w:r>
      <w:r>
        <w:rPr>
          <w:rFonts w:hint="eastAsia" w:hAnsi="宋体" w:cs="宋体"/>
        </w:rPr>
        <w:t>1  范围</w:t>
      </w:r>
      <w:r>
        <w:rPr>
          <w:rFonts w:hint="eastAsia" w:hAnsi="宋体" w:cs="宋体"/>
        </w:rPr>
        <w:tab/>
      </w:r>
      <w:r>
        <w:rPr>
          <w:rFonts w:hint="eastAsia" w:hAnsi="宋体" w:cs="宋体"/>
        </w:rPr>
        <w:fldChar w:fldCharType="begin"/>
      </w:r>
      <w:r>
        <w:rPr>
          <w:rFonts w:hint="eastAsia" w:hAnsi="宋体" w:cs="宋体"/>
        </w:rPr>
        <w:instrText xml:space="preserve"> PAGEREF _Toc12378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39F31072">
      <w:pPr>
        <w:pStyle w:val="19"/>
        <w:tabs>
          <w:tab w:val="right" w:leader="dot" w:pos="9355"/>
        </w:tabs>
        <w:rPr>
          <w:rFonts w:hAnsi="宋体" w:cs="宋体"/>
        </w:rPr>
      </w:pPr>
      <w:r>
        <w:fldChar w:fldCharType="begin"/>
      </w:r>
      <w:r>
        <w:instrText xml:space="preserve"> HYPERLINK \l "_Toc17779" </w:instrText>
      </w:r>
      <w:r>
        <w:fldChar w:fldCharType="separate"/>
      </w:r>
      <w:r>
        <w:rPr>
          <w:rFonts w:hint="eastAsia" w:hAnsi="宋体" w:cs="宋体"/>
        </w:rPr>
        <w:t>2  规范性引用文件</w:t>
      </w:r>
      <w:r>
        <w:rPr>
          <w:rFonts w:hint="eastAsia" w:hAnsi="宋体" w:cs="宋体"/>
        </w:rPr>
        <w:tab/>
      </w:r>
      <w:r>
        <w:rPr>
          <w:rFonts w:hint="eastAsia" w:hAnsi="宋体" w:cs="宋体"/>
        </w:rPr>
        <w:fldChar w:fldCharType="begin"/>
      </w:r>
      <w:r>
        <w:rPr>
          <w:rFonts w:hint="eastAsia" w:hAnsi="宋体" w:cs="宋体"/>
        </w:rPr>
        <w:instrText xml:space="preserve"> PAGEREF _Toc17779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748E28EA">
      <w:pPr>
        <w:pStyle w:val="19"/>
        <w:tabs>
          <w:tab w:val="right" w:leader="dot" w:pos="9355"/>
        </w:tabs>
        <w:rPr>
          <w:rFonts w:hAnsi="宋体" w:cs="宋体"/>
        </w:rPr>
      </w:pPr>
      <w:r>
        <w:fldChar w:fldCharType="begin"/>
      </w:r>
      <w:r>
        <w:instrText xml:space="preserve"> HYPERLINK \l "_Toc13793" </w:instrText>
      </w:r>
      <w:r>
        <w:fldChar w:fldCharType="separate"/>
      </w:r>
      <w:r>
        <w:rPr>
          <w:rFonts w:hint="eastAsia" w:hAnsi="宋体" w:cs="宋体"/>
        </w:rPr>
        <w:t>3  术语和定义</w:t>
      </w:r>
      <w:r>
        <w:rPr>
          <w:rFonts w:hint="eastAsia" w:hAnsi="宋体" w:cs="宋体"/>
        </w:rPr>
        <w:tab/>
      </w:r>
      <w:r>
        <w:rPr>
          <w:rFonts w:hint="eastAsia" w:hAnsi="宋体" w:cs="宋体"/>
        </w:rPr>
        <w:fldChar w:fldCharType="begin"/>
      </w:r>
      <w:r>
        <w:rPr>
          <w:rFonts w:hint="eastAsia" w:hAnsi="宋体" w:cs="宋体"/>
        </w:rPr>
        <w:instrText xml:space="preserve"> PAGEREF _Toc13793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241B7ED4">
      <w:pPr>
        <w:pStyle w:val="19"/>
        <w:tabs>
          <w:tab w:val="right" w:leader="dot" w:pos="9355"/>
        </w:tabs>
        <w:rPr>
          <w:rFonts w:hAnsi="宋体" w:cs="宋体"/>
        </w:rPr>
      </w:pPr>
      <w:r>
        <w:fldChar w:fldCharType="begin"/>
      </w:r>
      <w:r>
        <w:instrText xml:space="preserve"> HYPERLINK \l "_Toc21723" </w:instrText>
      </w:r>
      <w:r>
        <w:fldChar w:fldCharType="separate"/>
      </w:r>
      <w:r>
        <w:rPr>
          <w:rFonts w:hint="eastAsia" w:hAnsi="宋体" w:cs="宋体"/>
        </w:rPr>
        <w:t>4  一般要求</w:t>
      </w:r>
      <w:r>
        <w:rPr>
          <w:rFonts w:hint="eastAsia" w:hAnsi="宋体" w:cs="宋体"/>
        </w:rPr>
        <w:tab/>
      </w:r>
      <w:r>
        <w:rPr>
          <w:rFonts w:hint="eastAsia" w:hAnsi="宋体" w:cs="宋体"/>
        </w:rPr>
        <w:fldChar w:fldCharType="begin"/>
      </w:r>
      <w:r>
        <w:rPr>
          <w:rFonts w:hint="eastAsia" w:hAnsi="宋体" w:cs="宋体"/>
        </w:rPr>
        <w:instrText xml:space="preserve"> PAGEREF _Toc21723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14:paraId="7E05907F">
      <w:pPr>
        <w:pStyle w:val="19"/>
        <w:tabs>
          <w:tab w:val="right" w:leader="dot" w:pos="9355"/>
        </w:tabs>
        <w:rPr>
          <w:rFonts w:hAnsi="宋体" w:cs="宋体"/>
        </w:rPr>
      </w:pPr>
      <w:r>
        <w:fldChar w:fldCharType="begin"/>
      </w:r>
      <w:r>
        <w:instrText xml:space="preserve"> HYPERLINK \l "_Toc26830" </w:instrText>
      </w:r>
      <w:r>
        <w:fldChar w:fldCharType="separate"/>
      </w:r>
      <w:r>
        <w:rPr>
          <w:rFonts w:hint="eastAsia" w:hAnsi="宋体" w:cs="宋体"/>
        </w:rPr>
        <w:t>5  基本流程</w:t>
      </w:r>
      <w:r>
        <w:rPr>
          <w:rFonts w:hint="eastAsia" w:hAnsi="宋体" w:cs="宋体"/>
        </w:rPr>
        <w:tab/>
      </w:r>
      <w:r>
        <w:rPr>
          <w:rFonts w:hint="eastAsia" w:hAnsi="宋体" w:cs="宋体"/>
        </w:rPr>
        <w:fldChar w:fldCharType="begin"/>
      </w:r>
      <w:r>
        <w:rPr>
          <w:rFonts w:hint="eastAsia" w:hAnsi="宋体" w:cs="宋体"/>
        </w:rPr>
        <w:instrText xml:space="preserve"> PAGEREF _Toc26830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rPr>
        <w:fldChar w:fldCharType="end"/>
      </w:r>
    </w:p>
    <w:p w14:paraId="73AF5021">
      <w:pPr>
        <w:pStyle w:val="19"/>
        <w:tabs>
          <w:tab w:val="right" w:leader="dot" w:pos="9355"/>
        </w:tabs>
        <w:rPr>
          <w:rFonts w:hAnsi="宋体" w:cs="宋体"/>
        </w:rPr>
      </w:pPr>
      <w:r>
        <w:fldChar w:fldCharType="begin"/>
      </w:r>
      <w:r>
        <w:instrText xml:space="preserve"> HYPERLINK \l "_Toc21824" </w:instrText>
      </w:r>
      <w:r>
        <w:fldChar w:fldCharType="separate"/>
      </w:r>
      <w:r>
        <w:rPr>
          <w:rFonts w:hint="eastAsia" w:hAnsi="宋体" w:cs="宋体"/>
        </w:rPr>
        <w:t>6  策划和准备</w:t>
      </w:r>
      <w:r>
        <w:rPr>
          <w:rFonts w:hint="eastAsia" w:hAnsi="宋体" w:cs="宋体"/>
        </w:rPr>
        <w:tab/>
      </w:r>
      <w:r>
        <w:rPr>
          <w:rFonts w:hint="eastAsia" w:hAnsi="宋体" w:cs="宋体"/>
        </w:rPr>
        <w:fldChar w:fldCharType="begin"/>
      </w:r>
      <w:r>
        <w:rPr>
          <w:rFonts w:hint="eastAsia" w:hAnsi="宋体" w:cs="宋体"/>
        </w:rPr>
        <w:instrText xml:space="preserve"> PAGEREF _Toc21824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14:paraId="7C50C14A">
      <w:pPr>
        <w:pStyle w:val="19"/>
        <w:tabs>
          <w:tab w:val="right" w:leader="dot" w:pos="9355"/>
        </w:tabs>
        <w:rPr>
          <w:rFonts w:hAnsi="宋体" w:cs="宋体"/>
        </w:rPr>
      </w:pPr>
      <w:r>
        <w:fldChar w:fldCharType="begin"/>
      </w:r>
      <w:r>
        <w:instrText xml:space="preserve"> HYPERLINK \l "_Toc26171" </w:instrText>
      </w:r>
      <w:r>
        <w:fldChar w:fldCharType="separate"/>
      </w:r>
      <w:r>
        <w:rPr>
          <w:rFonts w:hint="eastAsia" w:hAnsi="宋体" w:cs="宋体"/>
        </w:rPr>
        <w:t>7  风险辨识、评估与管控</w:t>
      </w:r>
      <w:r>
        <w:rPr>
          <w:rFonts w:hint="eastAsia" w:hAnsi="宋体" w:cs="宋体"/>
        </w:rPr>
        <w:tab/>
      </w:r>
      <w:r>
        <w:rPr>
          <w:rFonts w:hint="eastAsia" w:hAnsi="宋体" w:cs="宋体"/>
        </w:rPr>
        <w:fldChar w:fldCharType="begin"/>
      </w:r>
      <w:r>
        <w:rPr>
          <w:rFonts w:hint="eastAsia" w:hAnsi="宋体" w:cs="宋体"/>
        </w:rPr>
        <w:instrText xml:space="preserve"> PAGEREF _Toc26171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14:paraId="1F726A06">
      <w:pPr>
        <w:pStyle w:val="24"/>
        <w:tabs>
          <w:tab w:val="right" w:leader="dot" w:pos="9355"/>
          <w:tab w:val="clear" w:pos="9344"/>
        </w:tabs>
        <w:rPr>
          <w:rFonts w:hAnsi="宋体" w:cs="宋体"/>
        </w:rPr>
      </w:pPr>
      <w:r>
        <w:fldChar w:fldCharType="begin"/>
      </w:r>
      <w:r>
        <w:instrText xml:space="preserve"> HYPERLINK \l "_Toc709" </w:instrText>
      </w:r>
      <w:r>
        <w:fldChar w:fldCharType="separate"/>
      </w:r>
      <w:r>
        <w:rPr>
          <w:rFonts w:hint="eastAsia" w:hAnsi="宋体" w:cs="宋体"/>
          <w:kern w:val="0"/>
        </w:rPr>
        <w:t xml:space="preserve">7.1  </w:t>
      </w:r>
      <w:r>
        <w:rPr>
          <w:rFonts w:hint="eastAsia" w:hAnsi="宋体" w:cs="宋体"/>
        </w:rPr>
        <w:t>风险辨识</w:t>
      </w:r>
      <w:r>
        <w:rPr>
          <w:rFonts w:hint="eastAsia" w:hAnsi="宋体" w:cs="宋体"/>
        </w:rPr>
        <w:tab/>
      </w:r>
      <w:r>
        <w:rPr>
          <w:rFonts w:hint="eastAsia" w:hAnsi="宋体" w:cs="宋体"/>
        </w:rPr>
        <w:fldChar w:fldCharType="begin"/>
      </w:r>
      <w:r>
        <w:rPr>
          <w:rFonts w:hint="eastAsia" w:hAnsi="宋体" w:cs="宋体"/>
        </w:rPr>
        <w:instrText xml:space="preserve"> PAGEREF _Toc709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14:paraId="13E9ACAD">
      <w:pPr>
        <w:pStyle w:val="24"/>
        <w:tabs>
          <w:tab w:val="right" w:leader="dot" w:pos="9355"/>
          <w:tab w:val="clear" w:pos="9344"/>
        </w:tabs>
        <w:rPr>
          <w:rFonts w:hAnsi="宋体" w:cs="宋体"/>
        </w:rPr>
      </w:pPr>
      <w:r>
        <w:fldChar w:fldCharType="begin"/>
      </w:r>
      <w:r>
        <w:instrText xml:space="preserve"> HYPERLINK \l "_Toc1896" </w:instrText>
      </w:r>
      <w:r>
        <w:fldChar w:fldCharType="separate"/>
      </w:r>
      <w:r>
        <w:rPr>
          <w:rFonts w:hint="eastAsia" w:hAnsi="宋体" w:cs="宋体"/>
          <w:kern w:val="0"/>
        </w:rPr>
        <w:t xml:space="preserve">7.2  </w:t>
      </w:r>
      <w:r>
        <w:rPr>
          <w:rFonts w:hint="eastAsia" w:hAnsi="宋体" w:cs="宋体"/>
        </w:rPr>
        <w:t>风险评估</w:t>
      </w:r>
      <w:r>
        <w:rPr>
          <w:rFonts w:hint="eastAsia" w:hAnsi="宋体" w:cs="宋体"/>
        </w:rPr>
        <w:tab/>
      </w:r>
      <w:r>
        <w:rPr>
          <w:rFonts w:hint="eastAsia" w:hAnsi="宋体" w:cs="宋体"/>
        </w:rPr>
        <w:fldChar w:fldCharType="begin"/>
      </w:r>
      <w:r>
        <w:rPr>
          <w:rFonts w:hint="eastAsia" w:hAnsi="宋体" w:cs="宋体"/>
        </w:rPr>
        <w:instrText xml:space="preserve"> PAGEREF _Toc1896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14:paraId="43E302B2">
      <w:pPr>
        <w:pStyle w:val="24"/>
        <w:tabs>
          <w:tab w:val="right" w:leader="dot" w:pos="9355"/>
          <w:tab w:val="clear" w:pos="9344"/>
        </w:tabs>
        <w:rPr>
          <w:rFonts w:hAnsi="宋体" w:cs="宋体"/>
        </w:rPr>
      </w:pPr>
      <w:r>
        <w:fldChar w:fldCharType="begin"/>
      </w:r>
      <w:r>
        <w:instrText xml:space="preserve"> HYPERLINK \l "_Toc20652" </w:instrText>
      </w:r>
      <w:r>
        <w:fldChar w:fldCharType="separate"/>
      </w:r>
      <w:r>
        <w:rPr>
          <w:rFonts w:hint="eastAsia" w:hAnsi="宋体" w:cs="宋体"/>
          <w:kern w:val="0"/>
        </w:rPr>
        <w:t xml:space="preserve">7.3  </w:t>
      </w:r>
      <w:r>
        <w:rPr>
          <w:rFonts w:hint="eastAsia" w:hAnsi="宋体" w:cs="宋体"/>
        </w:rPr>
        <w:t>风险管控</w:t>
      </w:r>
      <w:r>
        <w:rPr>
          <w:rFonts w:hint="eastAsia" w:hAnsi="宋体" w:cs="宋体"/>
        </w:rPr>
        <w:tab/>
      </w:r>
      <w:r>
        <w:rPr>
          <w:rFonts w:hint="eastAsia" w:hAnsi="宋体" w:cs="宋体"/>
        </w:rPr>
        <w:fldChar w:fldCharType="begin"/>
      </w:r>
      <w:r>
        <w:rPr>
          <w:rFonts w:hint="eastAsia" w:hAnsi="宋体" w:cs="宋体"/>
        </w:rPr>
        <w:instrText xml:space="preserve"> PAGEREF _Toc20652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14:paraId="1392DC08">
      <w:pPr>
        <w:pStyle w:val="19"/>
        <w:tabs>
          <w:tab w:val="right" w:leader="dot" w:pos="9355"/>
        </w:tabs>
        <w:rPr>
          <w:rFonts w:hAnsi="宋体" w:cs="宋体"/>
        </w:rPr>
      </w:pPr>
      <w:r>
        <w:fldChar w:fldCharType="begin"/>
      </w:r>
      <w:r>
        <w:instrText xml:space="preserve"> HYPERLINK \l "_Toc32136" </w:instrText>
      </w:r>
      <w:r>
        <w:fldChar w:fldCharType="separate"/>
      </w:r>
      <w:r>
        <w:rPr>
          <w:rFonts w:hint="eastAsia" w:hAnsi="宋体" w:cs="宋体"/>
        </w:rPr>
        <w:t>8  隐患排查治理</w:t>
      </w:r>
      <w:r>
        <w:rPr>
          <w:rFonts w:hint="eastAsia" w:hAnsi="宋体" w:cs="宋体"/>
        </w:rPr>
        <w:tab/>
      </w:r>
      <w:r>
        <w:rPr>
          <w:rFonts w:hint="eastAsia" w:hAnsi="宋体" w:cs="宋体"/>
        </w:rPr>
        <w:fldChar w:fldCharType="begin"/>
      </w:r>
      <w:r>
        <w:rPr>
          <w:rFonts w:hint="eastAsia" w:hAnsi="宋体" w:cs="宋体"/>
        </w:rPr>
        <w:instrText xml:space="preserve"> PAGEREF _Toc32136 \h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hAnsi="宋体" w:cs="宋体"/>
        </w:rPr>
        <w:fldChar w:fldCharType="end"/>
      </w:r>
    </w:p>
    <w:p w14:paraId="56B9E73D">
      <w:pPr>
        <w:pStyle w:val="24"/>
        <w:tabs>
          <w:tab w:val="right" w:leader="dot" w:pos="9355"/>
          <w:tab w:val="clear" w:pos="9344"/>
        </w:tabs>
        <w:rPr>
          <w:rFonts w:hAnsi="宋体" w:cs="宋体"/>
        </w:rPr>
      </w:pPr>
      <w:r>
        <w:fldChar w:fldCharType="begin"/>
      </w:r>
      <w:r>
        <w:instrText xml:space="preserve"> HYPERLINK \l "_Toc29295" </w:instrText>
      </w:r>
      <w:r>
        <w:fldChar w:fldCharType="separate"/>
      </w:r>
      <w:r>
        <w:rPr>
          <w:rFonts w:hint="eastAsia" w:hAnsi="宋体" w:cs="宋体"/>
          <w:kern w:val="0"/>
        </w:rPr>
        <w:t xml:space="preserve">8.1  </w:t>
      </w:r>
      <w:r>
        <w:rPr>
          <w:rFonts w:hint="eastAsia" w:hAnsi="宋体" w:cs="宋体"/>
        </w:rPr>
        <w:t>隐患排查治理要求</w:t>
      </w:r>
      <w:r>
        <w:rPr>
          <w:rFonts w:hint="eastAsia" w:hAnsi="宋体" w:cs="宋体"/>
        </w:rPr>
        <w:tab/>
      </w:r>
      <w:r>
        <w:rPr>
          <w:rFonts w:hint="eastAsia" w:hAnsi="宋体" w:cs="宋体"/>
        </w:rPr>
        <w:fldChar w:fldCharType="begin"/>
      </w:r>
      <w:r>
        <w:rPr>
          <w:rFonts w:hint="eastAsia" w:hAnsi="宋体" w:cs="宋体"/>
        </w:rPr>
        <w:instrText xml:space="preserve"> PAGEREF _Toc29295 \h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hAnsi="宋体" w:cs="宋体"/>
        </w:rPr>
        <w:fldChar w:fldCharType="end"/>
      </w:r>
    </w:p>
    <w:p w14:paraId="1EB3332F">
      <w:pPr>
        <w:pStyle w:val="24"/>
        <w:tabs>
          <w:tab w:val="right" w:leader="dot" w:pos="9355"/>
          <w:tab w:val="clear" w:pos="9344"/>
        </w:tabs>
        <w:rPr>
          <w:rFonts w:hAnsi="宋体" w:cs="宋体"/>
        </w:rPr>
      </w:pPr>
      <w:r>
        <w:fldChar w:fldCharType="begin"/>
      </w:r>
      <w:r>
        <w:instrText xml:space="preserve"> HYPERLINK \l "_Toc8438" </w:instrText>
      </w:r>
      <w:r>
        <w:fldChar w:fldCharType="separate"/>
      </w:r>
      <w:r>
        <w:rPr>
          <w:rFonts w:hint="eastAsia" w:hAnsi="宋体" w:cs="宋体"/>
          <w:kern w:val="0"/>
        </w:rPr>
        <w:t xml:space="preserve">8.2  </w:t>
      </w:r>
      <w:r>
        <w:rPr>
          <w:rFonts w:hint="eastAsia" w:hAnsi="宋体" w:cs="宋体"/>
        </w:rPr>
        <w:t>隐患排查计划</w:t>
      </w:r>
      <w:r>
        <w:rPr>
          <w:rFonts w:hint="eastAsia" w:hAnsi="宋体" w:cs="宋体"/>
        </w:rPr>
        <w:tab/>
      </w:r>
      <w:r>
        <w:rPr>
          <w:rFonts w:hint="eastAsia" w:hAnsi="宋体" w:cs="宋体"/>
        </w:rPr>
        <w:fldChar w:fldCharType="begin"/>
      </w:r>
      <w:r>
        <w:rPr>
          <w:rFonts w:hint="eastAsia" w:hAnsi="宋体" w:cs="宋体"/>
        </w:rPr>
        <w:instrText xml:space="preserve"> PAGEREF _Toc8438 \h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hAnsi="宋体" w:cs="宋体"/>
        </w:rPr>
        <w:fldChar w:fldCharType="end"/>
      </w:r>
    </w:p>
    <w:p w14:paraId="31A8A426">
      <w:pPr>
        <w:pStyle w:val="24"/>
        <w:tabs>
          <w:tab w:val="right" w:leader="dot" w:pos="9355"/>
          <w:tab w:val="clear" w:pos="9344"/>
        </w:tabs>
        <w:rPr>
          <w:rFonts w:hAnsi="宋体" w:cs="宋体"/>
        </w:rPr>
      </w:pPr>
      <w:r>
        <w:fldChar w:fldCharType="begin"/>
      </w:r>
      <w:r>
        <w:instrText xml:space="preserve"> HYPERLINK \l "_Toc11934" </w:instrText>
      </w:r>
      <w:r>
        <w:fldChar w:fldCharType="separate"/>
      </w:r>
      <w:r>
        <w:rPr>
          <w:rFonts w:hint="eastAsia" w:hAnsi="宋体" w:cs="宋体"/>
          <w:kern w:val="0"/>
        </w:rPr>
        <w:t xml:space="preserve">8.3  </w:t>
      </w:r>
      <w:r>
        <w:rPr>
          <w:rFonts w:hint="eastAsia" w:hAnsi="宋体" w:cs="宋体"/>
        </w:rPr>
        <w:t>隐患排查实施</w:t>
      </w:r>
      <w:r>
        <w:rPr>
          <w:rFonts w:hint="eastAsia" w:hAnsi="宋体" w:cs="宋体"/>
        </w:rPr>
        <w:tab/>
      </w:r>
      <w:r>
        <w:rPr>
          <w:rFonts w:hint="eastAsia" w:hAnsi="宋体" w:cs="宋体"/>
        </w:rPr>
        <w:fldChar w:fldCharType="begin"/>
      </w:r>
      <w:r>
        <w:rPr>
          <w:rFonts w:hint="eastAsia" w:hAnsi="宋体" w:cs="宋体"/>
        </w:rPr>
        <w:instrText xml:space="preserve"> PAGEREF _Toc11934 \h </w:instrText>
      </w:r>
      <w:r>
        <w:rPr>
          <w:rFonts w:hint="eastAsia" w:hAnsi="宋体" w:cs="宋体"/>
        </w:rPr>
        <w:fldChar w:fldCharType="separate"/>
      </w:r>
      <w:r>
        <w:rPr>
          <w:rFonts w:hint="eastAsia" w:hAnsi="宋体" w:cs="宋体"/>
        </w:rPr>
        <w:t>8</w:t>
      </w:r>
      <w:r>
        <w:rPr>
          <w:rFonts w:hint="eastAsia" w:hAnsi="宋体" w:cs="宋体"/>
        </w:rPr>
        <w:fldChar w:fldCharType="end"/>
      </w:r>
      <w:r>
        <w:rPr>
          <w:rFonts w:hint="eastAsia" w:hAnsi="宋体" w:cs="宋体"/>
        </w:rPr>
        <w:fldChar w:fldCharType="end"/>
      </w:r>
    </w:p>
    <w:p w14:paraId="784EE887">
      <w:pPr>
        <w:pStyle w:val="24"/>
        <w:tabs>
          <w:tab w:val="right" w:leader="dot" w:pos="9355"/>
          <w:tab w:val="clear" w:pos="9344"/>
        </w:tabs>
        <w:rPr>
          <w:rFonts w:hAnsi="宋体" w:cs="宋体"/>
        </w:rPr>
      </w:pPr>
      <w:r>
        <w:fldChar w:fldCharType="begin"/>
      </w:r>
      <w:r>
        <w:instrText xml:space="preserve"> HYPERLINK \l "_Toc14110" </w:instrText>
      </w:r>
      <w:r>
        <w:fldChar w:fldCharType="separate"/>
      </w:r>
      <w:r>
        <w:rPr>
          <w:rFonts w:hint="eastAsia" w:hAnsi="宋体" w:cs="宋体"/>
          <w:kern w:val="0"/>
        </w:rPr>
        <w:t xml:space="preserve">8.4  </w:t>
      </w:r>
      <w:r>
        <w:rPr>
          <w:rFonts w:hint="eastAsia" w:hAnsi="宋体" w:cs="宋体"/>
        </w:rPr>
        <w:t>隐患治理</w:t>
      </w:r>
      <w:r>
        <w:rPr>
          <w:rFonts w:hint="eastAsia" w:hAnsi="宋体" w:cs="宋体"/>
        </w:rPr>
        <w:tab/>
      </w:r>
      <w:r>
        <w:rPr>
          <w:rFonts w:hint="eastAsia" w:hAnsi="宋体" w:cs="宋体"/>
        </w:rPr>
        <w:fldChar w:fldCharType="begin"/>
      </w:r>
      <w:r>
        <w:rPr>
          <w:rFonts w:hint="eastAsia" w:hAnsi="宋体" w:cs="宋体"/>
        </w:rPr>
        <w:instrText xml:space="preserve"> PAGEREF _Toc14110 \h </w:instrText>
      </w:r>
      <w:r>
        <w:rPr>
          <w:rFonts w:hint="eastAsia" w:hAnsi="宋体" w:cs="宋体"/>
        </w:rPr>
        <w:fldChar w:fldCharType="separate"/>
      </w:r>
      <w:r>
        <w:rPr>
          <w:rFonts w:hint="eastAsia" w:hAnsi="宋体" w:cs="宋体"/>
        </w:rPr>
        <w:t>8</w:t>
      </w:r>
      <w:r>
        <w:rPr>
          <w:rFonts w:hint="eastAsia" w:hAnsi="宋体" w:cs="宋体"/>
        </w:rPr>
        <w:fldChar w:fldCharType="end"/>
      </w:r>
      <w:r>
        <w:rPr>
          <w:rFonts w:hint="eastAsia" w:hAnsi="宋体" w:cs="宋体"/>
        </w:rPr>
        <w:fldChar w:fldCharType="end"/>
      </w:r>
    </w:p>
    <w:p w14:paraId="75FBB7B7">
      <w:pPr>
        <w:pStyle w:val="24"/>
        <w:tabs>
          <w:tab w:val="right" w:leader="dot" w:pos="9355"/>
          <w:tab w:val="clear" w:pos="9344"/>
        </w:tabs>
        <w:rPr>
          <w:rFonts w:hAnsi="宋体" w:cs="宋体"/>
        </w:rPr>
      </w:pPr>
      <w:r>
        <w:fldChar w:fldCharType="begin"/>
      </w:r>
      <w:r>
        <w:instrText xml:space="preserve"> HYPERLINK \l "_Toc20904" </w:instrText>
      </w:r>
      <w:r>
        <w:fldChar w:fldCharType="separate"/>
      </w:r>
      <w:r>
        <w:rPr>
          <w:rFonts w:hint="eastAsia" w:hAnsi="宋体" w:cs="宋体"/>
          <w:kern w:val="0"/>
        </w:rPr>
        <w:t xml:space="preserve">8.5  </w:t>
      </w:r>
      <w:r>
        <w:rPr>
          <w:rFonts w:hint="eastAsia" w:hAnsi="宋体" w:cs="宋体"/>
        </w:rPr>
        <w:t>验收评估</w:t>
      </w:r>
      <w:r>
        <w:rPr>
          <w:rFonts w:hint="eastAsia" w:hAnsi="宋体" w:cs="宋体"/>
        </w:rPr>
        <w:tab/>
      </w:r>
      <w:r>
        <w:rPr>
          <w:rFonts w:hint="eastAsia" w:hAnsi="宋体" w:cs="宋体"/>
        </w:rPr>
        <w:fldChar w:fldCharType="begin"/>
      </w:r>
      <w:r>
        <w:rPr>
          <w:rFonts w:hint="eastAsia" w:hAnsi="宋体" w:cs="宋体"/>
        </w:rPr>
        <w:instrText xml:space="preserve"> PAGEREF _Toc20904 \h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hAnsi="宋体" w:cs="宋体"/>
        </w:rPr>
        <w:fldChar w:fldCharType="end"/>
      </w:r>
    </w:p>
    <w:p w14:paraId="63E51B25">
      <w:pPr>
        <w:pStyle w:val="19"/>
        <w:tabs>
          <w:tab w:val="right" w:leader="dot" w:pos="9355"/>
        </w:tabs>
        <w:rPr>
          <w:rFonts w:hAnsi="宋体" w:cs="宋体"/>
        </w:rPr>
      </w:pPr>
      <w:r>
        <w:fldChar w:fldCharType="begin"/>
      </w:r>
      <w:r>
        <w:instrText xml:space="preserve"> HYPERLINK \l "_Toc19611" </w:instrText>
      </w:r>
      <w:r>
        <w:fldChar w:fldCharType="separate"/>
      </w:r>
      <w:r>
        <w:rPr>
          <w:rFonts w:hint="eastAsia" w:hAnsi="宋体" w:cs="宋体"/>
        </w:rPr>
        <w:t>9  持续改进</w:t>
      </w:r>
      <w:r>
        <w:rPr>
          <w:rFonts w:hint="eastAsia" w:hAnsi="宋体" w:cs="宋体"/>
        </w:rPr>
        <w:tab/>
      </w:r>
      <w:r>
        <w:rPr>
          <w:rFonts w:hint="eastAsia" w:hAnsi="宋体" w:cs="宋体"/>
        </w:rPr>
        <w:fldChar w:fldCharType="begin"/>
      </w:r>
      <w:r>
        <w:rPr>
          <w:rFonts w:hint="eastAsia" w:hAnsi="宋体" w:cs="宋体"/>
        </w:rPr>
        <w:instrText xml:space="preserve"> PAGEREF _Toc19611 \h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hAnsi="宋体" w:cs="宋体"/>
        </w:rPr>
        <w:fldChar w:fldCharType="end"/>
      </w:r>
    </w:p>
    <w:p w14:paraId="5884A394">
      <w:pPr>
        <w:pStyle w:val="24"/>
        <w:tabs>
          <w:tab w:val="right" w:leader="dot" w:pos="9355"/>
          <w:tab w:val="clear" w:pos="9344"/>
        </w:tabs>
        <w:rPr>
          <w:rFonts w:hAnsi="宋体" w:cs="宋体"/>
        </w:rPr>
      </w:pPr>
      <w:r>
        <w:fldChar w:fldCharType="begin"/>
      </w:r>
      <w:r>
        <w:instrText xml:space="preserve"> HYPERLINK \l "_Toc2045" </w:instrText>
      </w:r>
      <w:r>
        <w:fldChar w:fldCharType="separate"/>
      </w:r>
      <w:r>
        <w:rPr>
          <w:rFonts w:hint="eastAsia" w:hAnsi="宋体" w:cs="宋体"/>
          <w:kern w:val="0"/>
        </w:rPr>
        <w:t xml:space="preserve">9.1  </w:t>
      </w:r>
      <w:r>
        <w:rPr>
          <w:rFonts w:hint="eastAsia" w:hAnsi="宋体" w:cs="宋体"/>
        </w:rPr>
        <w:t>管理评审</w:t>
      </w:r>
      <w:r>
        <w:rPr>
          <w:rFonts w:hint="eastAsia" w:hAnsi="宋体" w:cs="宋体"/>
        </w:rPr>
        <w:tab/>
      </w:r>
      <w:r>
        <w:rPr>
          <w:rFonts w:hint="eastAsia" w:hAnsi="宋体" w:cs="宋体"/>
        </w:rPr>
        <w:fldChar w:fldCharType="begin"/>
      </w:r>
      <w:r>
        <w:rPr>
          <w:rFonts w:hint="eastAsia" w:hAnsi="宋体" w:cs="宋体"/>
        </w:rPr>
        <w:instrText xml:space="preserve"> PAGEREF _Toc2045 \h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hAnsi="宋体" w:cs="宋体"/>
        </w:rPr>
        <w:fldChar w:fldCharType="end"/>
      </w:r>
    </w:p>
    <w:p w14:paraId="43DFCD56">
      <w:pPr>
        <w:pStyle w:val="24"/>
        <w:tabs>
          <w:tab w:val="right" w:leader="dot" w:pos="9355"/>
          <w:tab w:val="clear" w:pos="9344"/>
        </w:tabs>
        <w:rPr>
          <w:rFonts w:hAnsi="宋体" w:cs="宋体"/>
        </w:rPr>
      </w:pPr>
      <w:r>
        <w:fldChar w:fldCharType="begin"/>
      </w:r>
      <w:r>
        <w:instrText xml:space="preserve"> HYPERLINK \l "_Toc27994" </w:instrText>
      </w:r>
      <w:r>
        <w:fldChar w:fldCharType="separate"/>
      </w:r>
      <w:r>
        <w:rPr>
          <w:rFonts w:hint="eastAsia" w:hAnsi="宋体" w:cs="宋体"/>
          <w:kern w:val="0"/>
        </w:rPr>
        <w:t xml:space="preserve">9.2  </w:t>
      </w:r>
      <w:r>
        <w:rPr>
          <w:rFonts w:hint="eastAsia" w:hAnsi="宋体" w:cs="宋体"/>
        </w:rPr>
        <w:t>变更管理</w:t>
      </w:r>
      <w:r>
        <w:rPr>
          <w:rFonts w:hint="eastAsia" w:hAnsi="宋体" w:cs="宋体"/>
        </w:rPr>
        <w:tab/>
      </w:r>
      <w:r>
        <w:rPr>
          <w:rFonts w:hint="eastAsia" w:hAnsi="宋体" w:cs="宋体"/>
        </w:rPr>
        <w:fldChar w:fldCharType="begin"/>
      </w:r>
      <w:r>
        <w:rPr>
          <w:rFonts w:hint="eastAsia" w:hAnsi="宋体" w:cs="宋体"/>
        </w:rPr>
        <w:instrText xml:space="preserve"> PAGEREF _Toc27994 \h </w:instrText>
      </w:r>
      <w:r>
        <w:rPr>
          <w:rFonts w:hint="eastAsia" w:hAnsi="宋体" w:cs="宋体"/>
        </w:rPr>
        <w:fldChar w:fldCharType="separate"/>
      </w:r>
      <w:r>
        <w:rPr>
          <w:rFonts w:hint="eastAsia" w:hAnsi="宋体" w:cs="宋体"/>
        </w:rPr>
        <w:t>10</w:t>
      </w:r>
      <w:r>
        <w:rPr>
          <w:rFonts w:hint="eastAsia" w:hAnsi="宋体" w:cs="宋体"/>
        </w:rPr>
        <w:fldChar w:fldCharType="end"/>
      </w:r>
      <w:r>
        <w:rPr>
          <w:rFonts w:hint="eastAsia" w:hAnsi="宋体" w:cs="宋体"/>
        </w:rPr>
        <w:fldChar w:fldCharType="end"/>
      </w:r>
    </w:p>
    <w:p w14:paraId="025818BC">
      <w:pPr>
        <w:pStyle w:val="19"/>
        <w:tabs>
          <w:tab w:val="right" w:leader="dot" w:pos="9355"/>
        </w:tabs>
        <w:rPr>
          <w:rFonts w:hAnsi="宋体" w:cs="宋体"/>
        </w:rPr>
      </w:pPr>
      <w:r>
        <w:fldChar w:fldCharType="begin"/>
      </w:r>
      <w:r>
        <w:instrText xml:space="preserve"> HYPERLINK \l "_Toc25127" </w:instrText>
      </w:r>
      <w:r>
        <w:fldChar w:fldCharType="separate"/>
      </w:r>
      <w:r>
        <w:rPr>
          <w:rFonts w:hint="eastAsia" w:hAnsi="宋体" w:cs="宋体"/>
        </w:rPr>
        <w:t>附录A （资料性 ） 设备设施和作业活动清单</w:t>
      </w:r>
      <w:r>
        <w:rPr>
          <w:rFonts w:hint="eastAsia" w:hAnsi="宋体" w:cs="宋体"/>
        </w:rPr>
        <w:tab/>
      </w:r>
      <w:r>
        <w:rPr>
          <w:rFonts w:hint="eastAsia" w:hAnsi="宋体" w:cs="宋体"/>
        </w:rPr>
        <w:fldChar w:fldCharType="begin"/>
      </w:r>
      <w:r>
        <w:rPr>
          <w:rFonts w:hint="eastAsia" w:hAnsi="宋体" w:cs="宋体"/>
        </w:rPr>
        <w:instrText xml:space="preserve"> PAGEREF _Toc25127 \h </w:instrText>
      </w:r>
      <w:r>
        <w:rPr>
          <w:rFonts w:hint="eastAsia" w:hAnsi="宋体" w:cs="宋体"/>
        </w:rPr>
        <w:fldChar w:fldCharType="separate"/>
      </w:r>
      <w:r>
        <w:rPr>
          <w:rFonts w:hint="eastAsia" w:hAnsi="宋体" w:cs="宋体"/>
        </w:rPr>
        <w:t>11</w:t>
      </w:r>
      <w:r>
        <w:rPr>
          <w:rFonts w:hint="eastAsia" w:hAnsi="宋体" w:cs="宋体"/>
        </w:rPr>
        <w:fldChar w:fldCharType="end"/>
      </w:r>
      <w:r>
        <w:rPr>
          <w:rFonts w:hint="eastAsia" w:hAnsi="宋体" w:cs="宋体"/>
        </w:rPr>
        <w:fldChar w:fldCharType="end"/>
      </w:r>
    </w:p>
    <w:p w14:paraId="435646EC">
      <w:pPr>
        <w:pStyle w:val="19"/>
        <w:tabs>
          <w:tab w:val="right" w:leader="dot" w:pos="9355"/>
        </w:tabs>
        <w:rPr>
          <w:rFonts w:hAnsi="宋体" w:cs="宋体"/>
        </w:rPr>
      </w:pPr>
      <w:r>
        <w:fldChar w:fldCharType="begin"/>
      </w:r>
      <w:r>
        <w:instrText xml:space="preserve"> HYPERLINK \l "_Toc4803" </w:instrText>
      </w:r>
      <w:r>
        <w:fldChar w:fldCharType="separate"/>
      </w:r>
      <w:r>
        <w:rPr>
          <w:rFonts w:hint="eastAsia" w:hAnsi="宋体" w:cs="宋体"/>
        </w:rPr>
        <w:t>附录B （资料性 ） 安全风险辨识和管控清单</w:t>
      </w:r>
      <w:r>
        <w:rPr>
          <w:rFonts w:hint="eastAsia" w:hAnsi="宋体" w:cs="宋体"/>
        </w:rPr>
        <w:tab/>
      </w:r>
      <w:r>
        <w:rPr>
          <w:rFonts w:hint="eastAsia" w:hAnsi="宋体" w:cs="宋体"/>
        </w:rPr>
        <w:fldChar w:fldCharType="begin"/>
      </w:r>
      <w:r>
        <w:rPr>
          <w:rFonts w:hint="eastAsia" w:hAnsi="宋体" w:cs="宋体"/>
        </w:rPr>
        <w:instrText xml:space="preserve"> PAGEREF _Toc4803 \h </w:instrText>
      </w:r>
      <w:r>
        <w:rPr>
          <w:rFonts w:hint="eastAsia" w:hAnsi="宋体" w:cs="宋体"/>
        </w:rPr>
        <w:fldChar w:fldCharType="separate"/>
      </w:r>
      <w:r>
        <w:rPr>
          <w:rFonts w:hint="eastAsia" w:hAnsi="宋体" w:cs="宋体"/>
        </w:rPr>
        <w:t>12</w:t>
      </w:r>
      <w:r>
        <w:rPr>
          <w:rFonts w:hint="eastAsia" w:hAnsi="宋体" w:cs="宋体"/>
        </w:rPr>
        <w:fldChar w:fldCharType="end"/>
      </w:r>
      <w:r>
        <w:rPr>
          <w:rFonts w:hint="eastAsia" w:hAnsi="宋体" w:cs="宋体"/>
        </w:rPr>
        <w:fldChar w:fldCharType="end"/>
      </w:r>
    </w:p>
    <w:p w14:paraId="24E67E03">
      <w:pPr>
        <w:pStyle w:val="19"/>
        <w:tabs>
          <w:tab w:val="right" w:leader="dot" w:pos="9355"/>
        </w:tabs>
        <w:rPr>
          <w:rFonts w:hAnsi="宋体" w:cs="宋体"/>
        </w:rPr>
      </w:pPr>
      <w:r>
        <w:fldChar w:fldCharType="begin"/>
      </w:r>
      <w:r>
        <w:instrText xml:space="preserve"> HYPERLINK \l "_Toc6864" </w:instrText>
      </w:r>
      <w:r>
        <w:fldChar w:fldCharType="separate"/>
      </w:r>
      <w:r>
        <w:rPr>
          <w:rFonts w:hint="eastAsia" w:hAnsi="宋体" w:cs="宋体"/>
        </w:rPr>
        <w:t>附录C （资料性 ） 风险矩阵法（LS）</w:t>
      </w:r>
      <w:r>
        <w:rPr>
          <w:rFonts w:hint="eastAsia" w:hAnsi="宋体" w:cs="宋体"/>
        </w:rPr>
        <w:tab/>
      </w:r>
      <w:r>
        <w:rPr>
          <w:rFonts w:hint="eastAsia" w:hAnsi="宋体" w:cs="宋体"/>
        </w:rPr>
        <w:fldChar w:fldCharType="begin"/>
      </w:r>
      <w:r>
        <w:rPr>
          <w:rFonts w:hint="eastAsia" w:hAnsi="宋体" w:cs="宋体"/>
        </w:rPr>
        <w:instrText xml:space="preserve"> PAGEREF _Toc6864 \h </w:instrText>
      </w:r>
      <w:r>
        <w:rPr>
          <w:rFonts w:hint="eastAsia" w:hAnsi="宋体" w:cs="宋体"/>
        </w:rPr>
        <w:fldChar w:fldCharType="separate"/>
      </w:r>
      <w:r>
        <w:rPr>
          <w:rFonts w:hint="eastAsia" w:hAnsi="宋体" w:cs="宋体"/>
        </w:rPr>
        <w:t>19</w:t>
      </w:r>
      <w:r>
        <w:rPr>
          <w:rFonts w:hint="eastAsia" w:hAnsi="宋体" w:cs="宋体"/>
        </w:rPr>
        <w:fldChar w:fldCharType="end"/>
      </w:r>
      <w:r>
        <w:rPr>
          <w:rFonts w:hint="eastAsia" w:hAnsi="宋体" w:cs="宋体"/>
        </w:rPr>
        <w:fldChar w:fldCharType="end"/>
      </w:r>
    </w:p>
    <w:p w14:paraId="0DA3BDD3">
      <w:pPr>
        <w:pStyle w:val="19"/>
        <w:tabs>
          <w:tab w:val="right" w:leader="dot" w:pos="9355"/>
        </w:tabs>
        <w:rPr>
          <w:rFonts w:hAnsi="宋体" w:cs="宋体"/>
        </w:rPr>
      </w:pPr>
      <w:r>
        <w:fldChar w:fldCharType="begin"/>
      </w:r>
      <w:r>
        <w:instrText xml:space="preserve"> HYPERLINK \l "_Toc8246" </w:instrText>
      </w:r>
      <w:r>
        <w:fldChar w:fldCharType="separate"/>
      </w:r>
      <w:r>
        <w:rPr>
          <w:rFonts w:hint="eastAsia" w:hAnsi="宋体" w:cs="宋体"/>
        </w:rPr>
        <w:t>附录D （资料性 ） 作业条件危险性分析法（LEC）</w:t>
      </w:r>
      <w:r>
        <w:rPr>
          <w:rFonts w:hint="eastAsia" w:hAnsi="宋体" w:cs="宋体"/>
        </w:rPr>
        <w:tab/>
      </w:r>
      <w:r>
        <w:rPr>
          <w:rFonts w:hint="eastAsia" w:hAnsi="宋体" w:cs="宋体"/>
        </w:rPr>
        <w:fldChar w:fldCharType="begin"/>
      </w:r>
      <w:r>
        <w:rPr>
          <w:rFonts w:hint="eastAsia" w:hAnsi="宋体" w:cs="宋体"/>
        </w:rPr>
        <w:instrText xml:space="preserve"> PAGEREF _Toc8246 \h </w:instrText>
      </w:r>
      <w:r>
        <w:rPr>
          <w:rFonts w:hint="eastAsia" w:hAnsi="宋体" w:cs="宋体"/>
        </w:rPr>
        <w:fldChar w:fldCharType="separate"/>
      </w:r>
      <w:r>
        <w:rPr>
          <w:rFonts w:hint="eastAsia" w:hAnsi="宋体" w:cs="宋体"/>
        </w:rPr>
        <w:t>21</w:t>
      </w:r>
      <w:r>
        <w:rPr>
          <w:rFonts w:hint="eastAsia" w:hAnsi="宋体" w:cs="宋体"/>
        </w:rPr>
        <w:fldChar w:fldCharType="end"/>
      </w:r>
      <w:r>
        <w:rPr>
          <w:rFonts w:hint="eastAsia" w:hAnsi="宋体" w:cs="宋体"/>
        </w:rPr>
        <w:fldChar w:fldCharType="end"/>
      </w:r>
    </w:p>
    <w:p w14:paraId="7F9A5FD9">
      <w:pPr>
        <w:pStyle w:val="19"/>
        <w:tabs>
          <w:tab w:val="right" w:leader="dot" w:pos="9355"/>
        </w:tabs>
        <w:rPr>
          <w:rFonts w:hAnsi="宋体" w:cs="宋体"/>
        </w:rPr>
      </w:pPr>
      <w:r>
        <w:fldChar w:fldCharType="begin"/>
      </w:r>
      <w:r>
        <w:instrText xml:space="preserve"> HYPERLINK \l "_Toc13773" </w:instrText>
      </w:r>
      <w:r>
        <w:fldChar w:fldCharType="separate"/>
      </w:r>
      <w:r>
        <w:rPr>
          <w:rFonts w:hint="eastAsia" w:hAnsi="宋体" w:cs="宋体"/>
        </w:rPr>
        <w:t>附录E （资料性 ） 安全风险分级对照</w:t>
      </w:r>
      <w:r>
        <w:rPr>
          <w:rFonts w:hint="eastAsia" w:hAnsi="宋体" w:cs="宋体"/>
        </w:rPr>
        <w:tab/>
      </w:r>
      <w:r>
        <w:rPr>
          <w:rFonts w:hint="eastAsia" w:hAnsi="宋体" w:cs="宋体"/>
        </w:rPr>
        <w:fldChar w:fldCharType="begin"/>
      </w:r>
      <w:r>
        <w:rPr>
          <w:rFonts w:hint="eastAsia" w:hAnsi="宋体" w:cs="宋体"/>
        </w:rPr>
        <w:instrText xml:space="preserve"> PAGEREF _Toc13773 \h </w:instrText>
      </w:r>
      <w:r>
        <w:rPr>
          <w:rFonts w:hint="eastAsia" w:hAnsi="宋体" w:cs="宋体"/>
        </w:rPr>
        <w:fldChar w:fldCharType="separate"/>
      </w:r>
      <w:r>
        <w:rPr>
          <w:rFonts w:hint="eastAsia" w:hAnsi="宋体" w:cs="宋体"/>
        </w:rPr>
        <w:t>23</w:t>
      </w:r>
      <w:r>
        <w:rPr>
          <w:rFonts w:hint="eastAsia" w:hAnsi="宋体" w:cs="宋体"/>
        </w:rPr>
        <w:fldChar w:fldCharType="end"/>
      </w:r>
      <w:r>
        <w:rPr>
          <w:rFonts w:hint="eastAsia" w:hAnsi="宋体" w:cs="宋体"/>
        </w:rPr>
        <w:fldChar w:fldCharType="end"/>
      </w:r>
    </w:p>
    <w:p w14:paraId="5C311F6A">
      <w:pPr>
        <w:pStyle w:val="19"/>
        <w:tabs>
          <w:tab w:val="right" w:leader="dot" w:pos="9355"/>
        </w:tabs>
        <w:rPr>
          <w:rFonts w:hAnsi="宋体" w:cs="宋体"/>
        </w:rPr>
      </w:pPr>
      <w:r>
        <w:fldChar w:fldCharType="begin"/>
      </w:r>
      <w:r>
        <w:instrText xml:space="preserve"> HYPERLINK \l "_Toc18524" </w:instrText>
      </w:r>
      <w:r>
        <w:fldChar w:fldCharType="separate"/>
      </w:r>
      <w:r>
        <w:rPr>
          <w:rFonts w:hint="eastAsia" w:hAnsi="宋体" w:cs="宋体"/>
        </w:rPr>
        <w:t>附录F （资料性 ） 安全风险四色分布图</w:t>
      </w:r>
      <w:r>
        <w:rPr>
          <w:rFonts w:hint="eastAsia" w:hAnsi="宋体" w:cs="宋体"/>
        </w:rPr>
        <w:tab/>
      </w:r>
      <w:r>
        <w:rPr>
          <w:rFonts w:hint="eastAsia" w:hAnsi="宋体" w:cs="宋体"/>
        </w:rPr>
        <w:fldChar w:fldCharType="begin"/>
      </w:r>
      <w:r>
        <w:rPr>
          <w:rFonts w:hint="eastAsia" w:hAnsi="宋体" w:cs="宋体"/>
        </w:rPr>
        <w:instrText xml:space="preserve"> PAGEREF _Toc18524 \h </w:instrText>
      </w:r>
      <w:r>
        <w:rPr>
          <w:rFonts w:hint="eastAsia" w:hAnsi="宋体" w:cs="宋体"/>
        </w:rPr>
        <w:fldChar w:fldCharType="separate"/>
      </w:r>
      <w:r>
        <w:rPr>
          <w:rFonts w:hint="eastAsia" w:hAnsi="宋体" w:cs="宋体"/>
        </w:rPr>
        <w:t>24</w:t>
      </w:r>
      <w:r>
        <w:rPr>
          <w:rFonts w:hint="eastAsia" w:hAnsi="宋体" w:cs="宋体"/>
        </w:rPr>
        <w:fldChar w:fldCharType="end"/>
      </w:r>
      <w:r>
        <w:rPr>
          <w:rFonts w:hint="eastAsia" w:hAnsi="宋体" w:cs="宋体"/>
        </w:rPr>
        <w:fldChar w:fldCharType="end"/>
      </w:r>
    </w:p>
    <w:p w14:paraId="61162755">
      <w:pPr>
        <w:pStyle w:val="19"/>
        <w:tabs>
          <w:tab w:val="right" w:leader="dot" w:pos="9355"/>
        </w:tabs>
        <w:rPr>
          <w:rFonts w:hAnsi="宋体" w:cs="宋体"/>
        </w:rPr>
      </w:pPr>
      <w:r>
        <w:fldChar w:fldCharType="begin"/>
      </w:r>
      <w:r>
        <w:instrText xml:space="preserve"> HYPERLINK \l "_Toc2212" </w:instrText>
      </w:r>
      <w:r>
        <w:fldChar w:fldCharType="separate"/>
      </w:r>
      <w:r>
        <w:rPr>
          <w:rFonts w:hint="eastAsia" w:hAnsi="宋体" w:cs="宋体"/>
        </w:rPr>
        <w:t>附录G （资料性 ） 安全风险公告栏</w:t>
      </w:r>
      <w:r>
        <w:rPr>
          <w:rFonts w:hint="eastAsia" w:hAnsi="宋体" w:cs="宋体"/>
        </w:rPr>
        <w:tab/>
      </w:r>
      <w:r>
        <w:rPr>
          <w:rFonts w:hint="eastAsia" w:hAnsi="宋体" w:cs="宋体"/>
        </w:rPr>
        <w:fldChar w:fldCharType="begin"/>
      </w:r>
      <w:r>
        <w:rPr>
          <w:rFonts w:hint="eastAsia" w:hAnsi="宋体" w:cs="宋体"/>
        </w:rPr>
        <w:instrText xml:space="preserve"> PAGEREF _Toc2212 \h </w:instrText>
      </w:r>
      <w:r>
        <w:rPr>
          <w:rFonts w:hint="eastAsia" w:hAnsi="宋体" w:cs="宋体"/>
        </w:rPr>
        <w:fldChar w:fldCharType="separate"/>
      </w:r>
      <w:r>
        <w:rPr>
          <w:rFonts w:hint="eastAsia" w:hAnsi="宋体" w:cs="宋体"/>
        </w:rPr>
        <w:t>26</w:t>
      </w:r>
      <w:r>
        <w:rPr>
          <w:rFonts w:hint="eastAsia" w:hAnsi="宋体" w:cs="宋体"/>
        </w:rPr>
        <w:fldChar w:fldCharType="end"/>
      </w:r>
      <w:r>
        <w:rPr>
          <w:rFonts w:hint="eastAsia" w:hAnsi="宋体" w:cs="宋体"/>
        </w:rPr>
        <w:fldChar w:fldCharType="end"/>
      </w:r>
    </w:p>
    <w:p w14:paraId="64AEF005">
      <w:pPr>
        <w:pStyle w:val="19"/>
        <w:tabs>
          <w:tab w:val="right" w:leader="dot" w:pos="9355"/>
        </w:tabs>
        <w:rPr>
          <w:rFonts w:hAnsi="宋体" w:cs="宋体"/>
        </w:rPr>
      </w:pPr>
      <w:r>
        <w:fldChar w:fldCharType="begin"/>
      </w:r>
      <w:r>
        <w:instrText xml:space="preserve"> HYPERLINK \l "_Toc18974" </w:instrText>
      </w:r>
      <w:r>
        <w:fldChar w:fldCharType="separate"/>
      </w:r>
      <w:r>
        <w:rPr>
          <w:rFonts w:hint="eastAsia" w:hAnsi="宋体" w:cs="宋体"/>
        </w:rPr>
        <w:t>附录H （资料性 ） 岗位安全风险告知卡</w:t>
      </w:r>
      <w:r>
        <w:rPr>
          <w:rFonts w:hint="eastAsia" w:hAnsi="宋体" w:cs="宋体"/>
        </w:rPr>
        <w:tab/>
      </w:r>
      <w:r>
        <w:rPr>
          <w:rFonts w:hint="eastAsia" w:hAnsi="宋体" w:cs="宋体"/>
        </w:rPr>
        <w:fldChar w:fldCharType="begin"/>
      </w:r>
      <w:r>
        <w:rPr>
          <w:rFonts w:hint="eastAsia" w:hAnsi="宋体" w:cs="宋体"/>
        </w:rPr>
        <w:instrText xml:space="preserve"> PAGEREF _Toc18974 \h </w:instrText>
      </w:r>
      <w:r>
        <w:rPr>
          <w:rFonts w:hint="eastAsia" w:hAnsi="宋体" w:cs="宋体"/>
        </w:rPr>
        <w:fldChar w:fldCharType="separate"/>
      </w:r>
      <w:r>
        <w:rPr>
          <w:rFonts w:hint="eastAsia" w:hAnsi="宋体" w:cs="宋体"/>
        </w:rPr>
        <w:t>27</w:t>
      </w:r>
      <w:r>
        <w:rPr>
          <w:rFonts w:hint="eastAsia" w:hAnsi="宋体" w:cs="宋体"/>
        </w:rPr>
        <w:fldChar w:fldCharType="end"/>
      </w:r>
      <w:r>
        <w:rPr>
          <w:rFonts w:hint="eastAsia" w:hAnsi="宋体" w:cs="宋体"/>
        </w:rPr>
        <w:fldChar w:fldCharType="end"/>
      </w:r>
    </w:p>
    <w:p w14:paraId="62D6821E">
      <w:pPr>
        <w:pStyle w:val="19"/>
        <w:tabs>
          <w:tab w:val="right" w:leader="dot" w:pos="9355"/>
        </w:tabs>
        <w:rPr>
          <w:rFonts w:hAnsi="宋体" w:cs="宋体"/>
        </w:rPr>
      </w:pPr>
      <w:r>
        <w:fldChar w:fldCharType="begin"/>
      </w:r>
      <w:r>
        <w:instrText xml:space="preserve"> HYPERLINK \l "_Toc43" </w:instrText>
      </w:r>
      <w:r>
        <w:fldChar w:fldCharType="separate"/>
      </w:r>
      <w:r>
        <w:rPr>
          <w:rFonts w:hint="eastAsia" w:hAnsi="宋体" w:cs="宋体"/>
        </w:rPr>
        <w:t>附录I （资料性 ） 隐患排查治理记录表单</w:t>
      </w:r>
      <w:r>
        <w:rPr>
          <w:rFonts w:hint="eastAsia" w:hAnsi="宋体" w:cs="宋体"/>
        </w:rPr>
        <w:tab/>
      </w:r>
      <w:r>
        <w:rPr>
          <w:rFonts w:hint="eastAsia" w:hAnsi="宋体" w:cs="宋体"/>
        </w:rPr>
        <w:fldChar w:fldCharType="begin"/>
      </w:r>
      <w:r>
        <w:rPr>
          <w:rFonts w:hint="eastAsia" w:hAnsi="宋体" w:cs="宋体"/>
        </w:rPr>
        <w:instrText xml:space="preserve"> PAGEREF _Toc43 \h </w:instrText>
      </w:r>
      <w:r>
        <w:rPr>
          <w:rFonts w:hint="eastAsia" w:hAnsi="宋体" w:cs="宋体"/>
        </w:rPr>
        <w:fldChar w:fldCharType="separate"/>
      </w:r>
      <w:r>
        <w:rPr>
          <w:rFonts w:hint="eastAsia" w:hAnsi="宋体" w:cs="宋体"/>
        </w:rPr>
        <w:t>28</w:t>
      </w:r>
      <w:r>
        <w:rPr>
          <w:rFonts w:hint="eastAsia" w:hAnsi="宋体" w:cs="宋体"/>
        </w:rPr>
        <w:fldChar w:fldCharType="end"/>
      </w:r>
      <w:r>
        <w:rPr>
          <w:rFonts w:hint="eastAsia" w:hAnsi="宋体" w:cs="宋体"/>
        </w:rPr>
        <w:fldChar w:fldCharType="end"/>
      </w:r>
    </w:p>
    <w:p w14:paraId="48BABCC1">
      <w:pPr>
        <w:pStyle w:val="160"/>
        <w:spacing w:before="0" w:afterLines="0"/>
        <w:sectPr>
          <w:headerReference r:id="rId9" w:type="default"/>
          <w:footerReference r:id="rId11" w:type="default"/>
          <w:headerReference r:id="rId10" w:type="even"/>
          <w:footerReference r:id="rId12" w:type="even"/>
          <w:pgSz w:w="11906" w:h="16838"/>
          <w:pgMar w:top="1928" w:right="1134" w:bottom="1134" w:left="1134" w:header="1418" w:footer="1134" w:gutter="283"/>
          <w:pgNumType w:fmt="upperRoman" w:start="1"/>
          <w:cols w:space="720" w:num="1"/>
          <w:formProt w:val="0"/>
          <w:docGrid w:type="lines" w:linePitch="316" w:charSpace="0"/>
        </w:sectPr>
      </w:pPr>
      <w:r>
        <w:rPr>
          <w:rFonts w:hint="eastAsia" w:ascii="宋体" w:hAnsi="宋体" w:eastAsia="宋体" w:cs="宋体"/>
        </w:rPr>
        <w:fldChar w:fldCharType="end"/>
      </w:r>
    </w:p>
    <w:bookmarkEnd w:id="27"/>
    <w:p w14:paraId="644E6073">
      <w:pPr>
        <w:pStyle w:val="146"/>
        <w:spacing w:before="1040" w:after="474"/>
      </w:pPr>
      <w:bookmarkStart w:id="30" w:name="_Toc25560"/>
      <w:bookmarkStart w:id="31" w:name="BookMark2"/>
      <w:r>
        <w:rPr>
          <w:rFonts w:hint="eastAsia"/>
          <w:spacing w:val="320"/>
        </w:rPr>
        <w:t>前</w:t>
      </w:r>
      <w:r>
        <w:rPr>
          <w:rFonts w:hint="eastAsia"/>
        </w:rPr>
        <w:t>言</w:t>
      </w:r>
      <w:bookmarkEnd w:id="28"/>
      <w:bookmarkEnd w:id="29"/>
      <w:bookmarkEnd w:id="30"/>
    </w:p>
    <w:p w14:paraId="18298078">
      <w:pPr>
        <w:pStyle w:val="51"/>
        <w:ind w:firstLine="420"/>
      </w:pPr>
      <w:r>
        <w:rPr>
          <w:rFonts w:hint="eastAsia"/>
        </w:rPr>
        <w:t>本文件按照GB/T 1.1—2020《标准化工作导则  第1部分：标准化文件的结构和起草规则》的规定起草。</w:t>
      </w:r>
    </w:p>
    <w:p w14:paraId="06821B11">
      <w:pPr>
        <w:pStyle w:val="51"/>
        <w:ind w:firstLine="420"/>
      </w:pPr>
      <w:r>
        <w:rPr>
          <w:rFonts w:hint="eastAsia"/>
        </w:rPr>
        <w:t>请注意本文件的某些内容可能涉及专利。本文件的发布机构不承担识别专利的责任。</w:t>
      </w:r>
    </w:p>
    <w:p w14:paraId="5A46D225">
      <w:pPr>
        <w:pStyle w:val="51"/>
        <w:ind w:firstLine="420"/>
      </w:pPr>
      <w:r>
        <w:rPr>
          <w:rFonts w:hint="eastAsia"/>
        </w:rPr>
        <w:t>本文件由沈阳市城乡建设局提出并归口，同时负责标准的宣贯、监督实施等工作。</w:t>
      </w:r>
    </w:p>
    <w:p w14:paraId="532006AA">
      <w:pPr>
        <w:pStyle w:val="51"/>
        <w:ind w:firstLine="420"/>
      </w:pPr>
      <w:r>
        <w:rPr>
          <w:rFonts w:hint="eastAsia"/>
        </w:rPr>
        <w:t>本文件起草单位：中交城市能源研究设计院有限公司、沈阳市城乡建设局、沈阳燃气有限公司、沈阳近海中石油昆仑燃气有限公司、中国石化辽宁沈阳石油分公司、沈阳德源新能源科技开发有限公司。</w:t>
      </w:r>
    </w:p>
    <w:p w14:paraId="63408974">
      <w:pPr>
        <w:pStyle w:val="51"/>
        <w:ind w:firstLine="420"/>
      </w:pPr>
      <w:r>
        <w:rPr>
          <w:rFonts w:hint="eastAsia"/>
        </w:rPr>
        <w:t>本文件主要起草人：张芷毓、朱昌伟、钟军、李航、邹骊飞、马冬莲、杨俊峰、胡东平、高天博、石玉龙、胡斌、张勇、胡柏。</w:t>
      </w:r>
    </w:p>
    <w:p w14:paraId="07CD2050">
      <w:pPr>
        <w:pStyle w:val="51"/>
        <w:ind w:firstLine="420"/>
      </w:pPr>
      <w:r>
        <w:rPr>
          <w:rFonts w:hint="eastAsia"/>
        </w:rPr>
        <w:t>文件发布实施后，任何单位和个人如有问题和意见建议，均可以通过来电、来函等方式进行反馈。</w:t>
      </w:r>
    </w:p>
    <w:p w14:paraId="1235A092">
      <w:pPr>
        <w:pStyle w:val="51"/>
        <w:ind w:firstLine="420"/>
      </w:pPr>
      <w:r>
        <w:rPr>
          <w:rFonts w:hint="eastAsia"/>
        </w:rPr>
        <w:t>本文件归口管理部门通讯地址：沈阳市城乡建设局（沈阳市沈河区北站路138号）；联系电话：024-22565029。</w:t>
      </w:r>
    </w:p>
    <w:p w14:paraId="6755494B">
      <w:pPr>
        <w:pStyle w:val="51"/>
        <w:ind w:firstLine="420"/>
      </w:pPr>
      <w:r>
        <w:rPr>
          <w:rFonts w:hint="eastAsia"/>
        </w:rPr>
        <w:t>本文件主要起草单位通讯地址：中交城市能源研究设计院有限公司（沈阳市铁西区肇工北街33号）；联系电话：024-25822166。</w:t>
      </w:r>
    </w:p>
    <w:p w14:paraId="0155F5BF">
      <w:pPr>
        <w:pStyle w:val="51"/>
        <w:ind w:firstLine="420"/>
      </w:pPr>
    </w:p>
    <w:p w14:paraId="7A69A62E">
      <w:pPr>
        <w:pStyle w:val="51"/>
        <w:ind w:firstLine="420"/>
        <w:sectPr>
          <w:pgSz w:w="11906" w:h="16838"/>
          <w:pgMar w:top="1928" w:right="1134" w:bottom="1134" w:left="1134" w:header="1418" w:footer="1134" w:gutter="283"/>
          <w:pgNumType w:fmt="upperRoman"/>
          <w:cols w:space="720" w:num="1"/>
          <w:formProt w:val="0"/>
          <w:docGrid w:type="lines" w:linePitch="316" w:charSpace="0"/>
        </w:sectPr>
      </w:pPr>
    </w:p>
    <w:bookmarkEnd w:id="31"/>
    <w:p w14:paraId="46162808">
      <w:pPr>
        <w:pStyle w:val="146"/>
        <w:spacing w:after="474"/>
      </w:pPr>
      <w:bookmarkStart w:id="32" w:name="_Toc19811"/>
      <w:bookmarkStart w:id="33" w:name="_Toc29616"/>
      <w:bookmarkStart w:id="34" w:name="_Toc17351"/>
      <w:bookmarkStart w:id="35" w:name="BookMark3"/>
      <w:r>
        <w:rPr>
          <w:rFonts w:hint="eastAsia"/>
          <w:spacing w:val="320"/>
        </w:rPr>
        <w:t>引</w:t>
      </w:r>
      <w:r>
        <w:rPr>
          <w:rFonts w:hint="eastAsia"/>
        </w:rPr>
        <w:t>言</w:t>
      </w:r>
      <w:bookmarkEnd w:id="32"/>
      <w:bookmarkEnd w:id="33"/>
      <w:bookmarkEnd w:id="34"/>
    </w:p>
    <w:p w14:paraId="11E958FA">
      <w:pPr>
        <w:pStyle w:val="51"/>
        <w:ind w:firstLine="420"/>
      </w:pPr>
      <w:r>
        <w:rPr>
          <w:rFonts w:hint="eastAsia"/>
        </w:rPr>
        <w:t>本文件依据国家安全生产法律、法规、规章、标准及</w:t>
      </w:r>
      <w:r>
        <w:rPr>
          <w:rFonts w:hint="eastAsia"/>
          <w:color w:val="auto"/>
        </w:rPr>
        <w:t>《企业安全风险分级管控和隐患排查治理通则》DB/T 3275-2020</w:t>
      </w:r>
      <w:r>
        <w:rPr>
          <w:rFonts w:hint="eastAsia"/>
        </w:rPr>
        <w:t>要求，融合职业健康安全管理体系及安全生产标准化等相关要求，遵循燃气行业安全生产特点及事故预防原理，结合沈阳市城镇燃气经营企业的实际情况研究制定。</w:t>
      </w:r>
    </w:p>
    <w:p w14:paraId="213E2C1C">
      <w:pPr>
        <w:pStyle w:val="51"/>
        <w:ind w:firstLine="420"/>
      </w:pPr>
    </w:p>
    <w:p w14:paraId="3CE7E473">
      <w:pPr>
        <w:pStyle w:val="51"/>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3"/>
          <w:pgNumType w:fmt="upperRoman"/>
          <w:cols w:space="720" w:num="1"/>
          <w:formProt w:val="0"/>
          <w:docGrid w:type="lines" w:linePitch="316" w:charSpace="0"/>
        </w:sectPr>
      </w:pPr>
    </w:p>
    <w:bookmarkEnd w:id="35"/>
    <w:p w14:paraId="2412715E">
      <w:pPr>
        <w:spacing w:line="20" w:lineRule="exact"/>
        <w:jc w:val="center"/>
        <w:rPr>
          <w:rFonts w:ascii="黑体" w:hAnsi="黑体" w:eastAsia="黑体"/>
          <w:sz w:val="32"/>
          <w:szCs w:val="32"/>
        </w:rPr>
      </w:pPr>
      <w:bookmarkStart w:id="36" w:name="BookMark4"/>
    </w:p>
    <w:p w14:paraId="0D4A58A4">
      <w:pPr>
        <w:spacing w:line="20" w:lineRule="exact"/>
        <w:jc w:val="center"/>
        <w:rPr>
          <w:rFonts w:ascii="黑体" w:hAnsi="黑体" w:eastAsia="黑体"/>
          <w:sz w:val="32"/>
          <w:szCs w:val="32"/>
        </w:rPr>
      </w:pPr>
    </w:p>
    <w:p w14:paraId="7087AB7C">
      <w:pPr>
        <w:pStyle w:val="77"/>
        <w:spacing w:beforeLines="182" w:afterLines="220"/>
      </w:pPr>
      <w:bookmarkStart w:id="37" w:name="NEW_STAND_NAME"/>
      <w:r>
        <w:t>城镇燃气经营企业安全风险分级管控和隐患排查治理工作规范</w:t>
      </w:r>
    </w:p>
    <w:bookmarkEnd w:id="37"/>
    <w:p w14:paraId="4025BB99">
      <w:pPr>
        <w:pStyle w:val="71"/>
        <w:spacing w:before="316" w:after="316"/>
      </w:pPr>
      <w:bookmarkStart w:id="38" w:name="_Toc17233333"/>
      <w:bookmarkStart w:id="39" w:name="_Toc26986530"/>
      <w:bookmarkStart w:id="40" w:name="_Toc26648465"/>
      <w:bookmarkStart w:id="41" w:name="_Toc24884218"/>
      <w:bookmarkStart w:id="42" w:name="_Toc30591"/>
      <w:bookmarkStart w:id="43" w:name="_Toc24884211"/>
      <w:bookmarkStart w:id="44" w:name="_Toc7615"/>
      <w:bookmarkStart w:id="45" w:name="_Toc17233325"/>
      <w:bookmarkStart w:id="46" w:name="_Toc26718930"/>
      <w:bookmarkStart w:id="47" w:name="_Toc18308"/>
      <w:bookmarkStart w:id="48" w:name="_Toc17001"/>
      <w:bookmarkStart w:id="49" w:name="_Toc9593"/>
      <w:bookmarkStart w:id="50" w:name="_Toc26986771"/>
      <w:bookmarkStart w:id="51" w:name="_Toc12378"/>
      <w:r>
        <w:rPr>
          <w:rFonts w:hint="eastAsia"/>
        </w:rPr>
        <w:t>范围</w:t>
      </w:r>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2D00791C">
      <w:pPr>
        <w:pStyle w:val="51"/>
        <w:ind w:firstLine="420"/>
        <w:rPr>
          <w:color w:val="auto"/>
        </w:rPr>
      </w:pPr>
      <w:bookmarkStart w:id="52" w:name="_Toc17233326"/>
      <w:bookmarkStart w:id="53" w:name="_Toc24884212"/>
      <w:bookmarkStart w:id="54" w:name="_Toc26648466"/>
      <w:bookmarkStart w:id="55" w:name="_Toc24884219"/>
      <w:bookmarkStart w:id="56" w:name="_Toc17233334"/>
      <w:r>
        <w:rPr>
          <w:rFonts w:hint="eastAsia"/>
        </w:rPr>
        <w:t>本文件规定了城镇燃气经营企业安全风险分级管控和隐患排查治理的</w:t>
      </w:r>
      <w:r>
        <w:rPr>
          <w:rFonts w:hint="eastAsia"/>
          <w:color w:val="auto"/>
        </w:rPr>
        <w:t>一般要求、基本流程、策划和准备、风险辨识和评估与管控、隐患排查治理、持续改进等内容。</w:t>
      </w:r>
    </w:p>
    <w:p w14:paraId="3C70EAB3">
      <w:pPr>
        <w:pStyle w:val="51"/>
        <w:ind w:firstLine="420"/>
      </w:pPr>
      <w:r>
        <w:rPr>
          <w:rFonts w:hint="eastAsia"/>
        </w:rPr>
        <w:t>本文件适用于沈阳市城镇燃气经营企业（管道燃气经营企业、瓶装燃气经营企业、燃气汽车加气站）安全风险分级管控和隐患排查治理工作。</w:t>
      </w:r>
    </w:p>
    <w:p w14:paraId="1AA9C27F">
      <w:pPr>
        <w:pStyle w:val="71"/>
        <w:spacing w:before="316" w:after="316"/>
      </w:pPr>
      <w:bookmarkStart w:id="57" w:name="_Toc31856"/>
      <w:bookmarkStart w:id="58" w:name="_Toc26718931"/>
      <w:bookmarkStart w:id="59" w:name="_Toc13058"/>
      <w:bookmarkStart w:id="60" w:name="_Toc26986531"/>
      <w:bookmarkStart w:id="61" w:name="_Toc26986772"/>
      <w:bookmarkStart w:id="62" w:name="_Toc7524"/>
      <w:bookmarkStart w:id="63" w:name="_Toc13678"/>
      <w:bookmarkStart w:id="64" w:name="_Toc12306"/>
      <w:bookmarkStart w:id="65" w:name="_Toc17779"/>
      <w:r>
        <w:rPr>
          <w:rFonts w:hint="eastAsia"/>
        </w:rPr>
        <w:t>规范性引用文件</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6BEEC786">
      <w:pPr>
        <w:pStyle w:val="5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83E9654">
      <w:pPr>
        <w:pStyle w:val="51"/>
        <w:ind w:firstLine="420"/>
      </w:pPr>
      <w:r>
        <w:rPr>
          <w:rFonts w:hint="eastAsia"/>
        </w:rPr>
        <w:t>GB 6441 企业职工伤亡事故分类</w:t>
      </w:r>
    </w:p>
    <w:p w14:paraId="4DF9CDCC">
      <w:pPr>
        <w:pStyle w:val="51"/>
        <w:ind w:firstLine="420"/>
      </w:pPr>
      <w:r>
        <w:rPr>
          <w:rFonts w:hint="eastAsia"/>
        </w:rPr>
        <w:t>GB/T 11651 个体防护装备选用规范</w:t>
      </w:r>
    </w:p>
    <w:p w14:paraId="3307AADD">
      <w:pPr>
        <w:pStyle w:val="51"/>
        <w:ind w:firstLine="420"/>
      </w:pPr>
      <w:r>
        <w:rPr>
          <w:rFonts w:hint="eastAsia"/>
        </w:rPr>
        <w:t>GB/T 13861 生产过程危险和有害因素分类与代码</w:t>
      </w:r>
    </w:p>
    <w:p w14:paraId="5CDB1AFE">
      <w:pPr>
        <w:pStyle w:val="51"/>
        <w:ind w:firstLine="420"/>
      </w:pPr>
      <w:r>
        <w:rPr>
          <w:rFonts w:hint="eastAsia"/>
        </w:rPr>
        <w:t>GB 18218 危险化学品重大危险源辨识</w:t>
      </w:r>
    </w:p>
    <w:p w14:paraId="22AA8758">
      <w:pPr>
        <w:pStyle w:val="51"/>
        <w:ind w:firstLine="420"/>
      </w:pPr>
      <w:r>
        <w:rPr>
          <w:rFonts w:hint="eastAsia"/>
        </w:rPr>
        <w:t>GB/T 24353 风险管理原则与实施指南</w:t>
      </w:r>
    </w:p>
    <w:p w14:paraId="53CFB0A1">
      <w:pPr>
        <w:pStyle w:val="51"/>
        <w:ind w:firstLine="420"/>
      </w:pPr>
      <w:r>
        <w:rPr>
          <w:rFonts w:hint="eastAsia"/>
        </w:rPr>
        <w:t>GB/T 27921 风险管理风险评估技术</w:t>
      </w:r>
    </w:p>
    <w:p w14:paraId="0969A928">
      <w:pPr>
        <w:pStyle w:val="51"/>
        <w:ind w:firstLine="420"/>
      </w:pPr>
      <w:r>
        <w:rPr>
          <w:rFonts w:hint="eastAsia"/>
        </w:rPr>
        <w:t>GB 35181 重大火灾隐患判定方法</w:t>
      </w:r>
    </w:p>
    <w:p w14:paraId="0ABE806C">
      <w:pPr>
        <w:pStyle w:val="51"/>
        <w:ind w:firstLine="420"/>
      </w:pPr>
      <w:r>
        <w:rPr>
          <w:rFonts w:hint="eastAsia"/>
        </w:rPr>
        <w:t>DB21/T 3275 企业安全风险分级管控和隐患排查治理通则</w:t>
      </w:r>
    </w:p>
    <w:p w14:paraId="04A40B55">
      <w:pPr>
        <w:pStyle w:val="71"/>
        <w:spacing w:before="316" w:after="316"/>
      </w:pPr>
      <w:bookmarkStart w:id="66" w:name="_Toc26984"/>
      <w:bookmarkStart w:id="67" w:name="_Toc16654"/>
      <w:bookmarkStart w:id="68" w:name="_Toc13793"/>
      <w:bookmarkStart w:id="69" w:name="_Toc13949"/>
      <w:bookmarkStart w:id="70" w:name="_Toc15820"/>
      <w:bookmarkStart w:id="71" w:name="_Toc22652"/>
      <w:r>
        <w:rPr>
          <w:rFonts w:hint="eastAsia"/>
          <w:szCs w:val="21"/>
        </w:rPr>
        <w:t>术语和定义</w:t>
      </w:r>
      <w:bookmarkEnd w:id="66"/>
      <w:bookmarkEnd w:id="67"/>
      <w:bookmarkEnd w:id="68"/>
      <w:bookmarkEnd w:id="69"/>
      <w:bookmarkEnd w:id="70"/>
      <w:bookmarkEnd w:id="71"/>
    </w:p>
    <w:p w14:paraId="42526212">
      <w:pPr>
        <w:pStyle w:val="51"/>
        <w:ind w:firstLine="420"/>
      </w:pPr>
      <w:bookmarkStart w:id="72" w:name="_Toc26986532"/>
      <w:bookmarkEnd w:id="72"/>
      <w:r>
        <w:rPr>
          <w:rFonts w:hint="eastAsia"/>
        </w:rPr>
        <w:t>DB21/T 3275界定的以及下列术语和定义适用于本文件。</w:t>
      </w:r>
    </w:p>
    <w:p w14:paraId="5C39F3BD">
      <w:pPr>
        <w:pStyle w:val="157"/>
        <w:ind w:left="420" w:hanging="420" w:hangingChars="200"/>
      </w:pPr>
      <w:r>
        <w:rPr>
          <w:rFonts w:hint="eastAsia"/>
        </w:rPr>
        <w:br w:type="textWrapping"/>
      </w:r>
      <w:r>
        <w:rPr>
          <w:rFonts w:hint="eastAsia"/>
        </w:rPr>
        <w:t>城镇燃气 city gas</w:t>
      </w:r>
    </w:p>
    <w:p w14:paraId="5DCDE749">
      <w:pPr>
        <w:pStyle w:val="51"/>
        <w:ind w:firstLine="420"/>
      </w:pPr>
      <w:r>
        <w:rPr>
          <w:rFonts w:hint="eastAsia"/>
        </w:rPr>
        <w:t>供给居民生活、商业、建筑采暖制冷、工业企业生产以及燃气汽车，且符合燃气质量要求的可燃气体燃料。</w:t>
      </w:r>
    </w:p>
    <w:p w14:paraId="379D4776">
      <w:pPr>
        <w:pStyle w:val="157"/>
        <w:ind w:left="420" w:hanging="420" w:hangingChars="200"/>
      </w:pPr>
      <w:r>
        <w:rPr>
          <w:rFonts w:hint="eastAsia"/>
        </w:rPr>
        <w:br w:type="textWrapping"/>
      </w:r>
      <w:r>
        <w:rPr>
          <w:rFonts w:hint="eastAsia"/>
        </w:rPr>
        <w:t>城镇燃气经营企业 urban gas business enterprises</w:t>
      </w:r>
    </w:p>
    <w:p w14:paraId="19A765B0">
      <w:pPr>
        <w:pStyle w:val="51"/>
        <w:ind w:firstLine="420"/>
      </w:pPr>
      <w:r>
        <w:rPr>
          <w:rFonts w:hint="eastAsia"/>
        </w:rPr>
        <w:t>针对城镇燃气展开经营活动的企业。一般包括管道燃气经营企业、瓶装燃气经营企业和燃气汽车加气站。</w:t>
      </w:r>
    </w:p>
    <w:p w14:paraId="01C9435E">
      <w:pPr>
        <w:pStyle w:val="157"/>
        <w:ind w:left="420" w:hanging="420" w:hangingChars="200"/>
      </w:pPr>
      <w:r>
        <w:rPr>
          <w:rFonts w:hint="eastAsia"/>
        </w:rPr>
        <w:br w:type="textWrapping"/>
      </w:r>
      <w:r>
        <w:rPr>
          <w:rFonts w:hint="eastAsia"/>
        </w:rPr>
        <w:t>管道燃气经营企业 piped gas business enterprises</w:t>
      </w:r>
    </w:p>
    <w:p w14:paraId="30770337">
      <w:pPr>
        <w:pStyle w:val="51"/>
        <w:ind w:firstLine="420"/>
      </w:pPr>
      <w:r>
        <w:rPr>
          <w:rFonts w:hint="eastAsia"/>
        </w:rPr>
        <w:t>利用管道输送燃气供给居民生活、商业、建筑采暖制冷、工业企业生产的企业。一般包括门站、储配站、调压站等。</w:t>
      </w:r>
    </w:p>
    <w:p w14:paraId="4A79B87B">
      <w:pPr>
        <w:pStyle w:val="157"/>
        <w:ind w:left="420" w:hanging="420" w:hangingChars="200"/>
      </w:pPr>
      <w:r>
        <w:rPr>
          <w:rFonts w:hint="eastAsia"/>
        </w:rPr>
        <w:br w:type="textWrapping"/>
      </w:r>
      <w:r>
        <w:rPr>
          <w:rFonts w:hint="eastAsia"/>
        </w:rPr>
        <w:t>瓶装燃气经营企业 bottled gas business enterprises</w:t>
      </w:r>
    </w:p>
    <w:p w14:paraId="65C31F66">
      <w:pPr>
        <w:pStyle w:val="51"/>
        <w:ind w:firstLine="420"/>
      </w:pPr>
      <w:r>
        <w:rPr>
          <w:rFonts w:hint="eastAsia"/>
        </w:rPr>
        <w:t>瓶装燃气经营企业是指在石油化工和燃气行业中专门从事瓶装燃气产品的充装、供应、配送和售后服务的企业。一般包括瓶装燃气供应站、瓶装燃气充装站等。</w:t>
      </w:r>
    </w:p>
    <w:p w14:paraId="027FFDC0">
      <w:pPr>
        <w:pStyle w:val="157"/>
        <w:ind w:left="420" w:hanging="420" w:hangingChars="200"/>
      </w:pPr>
      <w:r>
        <w:rPr>
          <w:rFonts w:hint="eastAsia"/>
        </w:rPr>
        <w:br w:type="textWrapping"/>
      </w:r>
      <w:r>
        <w:rPr>
          <w:rFonts w:hint="eastAsia"/>
        </w:rPr>
        <w:t>燃气汽车加气站 gas vehicle refueling station</w:t>
      </w:r>
    </w:p>
    <w:p w14:paraId="1E3F1675">
      <w:pPr>
        <w:pStyle w:val="51"/>
        <w:ind w:firstLine="420"/>
      </w:pPr>
      <w:r>
        <w:rPr>
          <w:rFonts w:hint="eastAsia"/>
        </w:rPr>
        <w:t>具有储气设施，使用加气机为机动车加注车用CNG、LNG等车用燃气并可提供其他便利性服务的场所。一般包括CNG加气母站、CNG加气子站、CNG常规加气站、LNG加气站、L-CNG加气站等。</w:t>
      </w:r>
    </w:p>
    <w:p w14:paraId="3E80CF28">
      <w:pPr>
        <w:pStyle w:val="157"/>
        <w:ind w:left="420" w:hanging="420" w:hangingChars="200"/>
      </w:pPr>
      <w:r>
        <w:rPr>
          <w:rFonts w:hint="eastAsia"/>
        </w:rPr>
        <w:br w:type="textWrapping"/>
      </w:r>
      <w:r>
        <w:rPr>
          <w:rFonts w:hint="eastAsia"/>
        </w:rPr>
        <w:t>固有风险 inherent risk</w:t>
      </w:r>
    </w:p>
    <w:p w14:paraId="4004A350">
      <w:pPr>
        <w:pStyle w:val="51"/>
        <w:ind w:firstLine="420"/>
      </w:pPr>
      <w:r>
        <w:rPr>
          <w:rFonts w:hint="eastAsia"/>
        </w:rPr>
        <w:t>不考虑已采取的管控措施的情况下所存在的风险。</w:t>
      </w:r>
    </w:p>
    <w:p w14:paraId="79099F60">
      <w:pPr>
        <w:pStyle w:val="157"/>
        <w:ind w:left="420" w:hanging="420" w:hangingChars="200"/>
      </w:pPr>
      <w:r>
        <w:rPr>
          <w:rFonts w:hint="eastAsia"/>
        </w:rPr>
        <w:br w:type="textWrapping"/>
      </w:r>
      <w:r>
        <w:rPr>
          <w:rFonts w:hint="eastAsia"/>
        </w:rPr>
        <w:t>残余风险 residual risk</w:t>
      </w:r>
    </w:p>
    <w:p w14:paraId="06E40980">
      <w:pPr>
        <w:pStyle w:val="51"/>
        <w:ind w:firstLine="420"/>
      </w:pPr>
      <w:r>
        <w:rPr>
          <w:rFonts w:hint="eastAsia"/>
        </w:rPr>
        <w:t>考虑已采取的管控措施后仍存在的风险。</w:t>
      </w:r>
    </w:p>
    <w:p w14:paraId="626D6781">
      <w:pPr>
        <w:pStyle w:val="157"/>
        <w:ind w:left="420" w:hanging="420" w:hangingChars="200"/>
      </w:pPr>
      <w:r>
        <w:rPr>
          <w:rFonts w:hint="eastAsia"/>
        </w:rPr>
        <w:br w:type="textWrapping"/>
      </w:r>
      <w:r>
        <w:rPr>
          <w:rFonts w:hint="eastAsia"/>
        </w:rPr>
        <w:t>一般隐患 general hidden danger</w:t>
      </w:r>
    </w:p>
    <w:p w14:paraId="0644CA90">
      <w:pPr>
        <w:pStyle w:val="51"/>
        <w:ind w:firstLine="420"/>
      </w:pPr>
      <w:r>
        <w:rPr>
          <w:rFonts w:hint="eastAsia"/>
        </w:rPr>
        <w:t>除重大隐患以外的隐患。</w:t>
      </w:r>
    </w:p>
    <w:p w14:paraId="52D94C1A">
      <w:pPr>
        <w:pStyle w:val="157"/>
        <w:ind w:left="420" w:hanging="420" w:hangingChars="200"/>
      </w:pPr>
      <w:r>
        <w:rPr>
          <w:rFonts w:hint="eastAsia"/>
        </w:rPr>
        <w:br w:type="textWrapping"/>
      </w:r>
      <w:r>
        <w:rPr>
          <w:rFonts w:hint="eastAsia"/>
        </w:rPr>
        <w:t>重大隐患 major hidden danger</w:t>
      </w:r>
    </w:p>
    <w:p w14:paraId="4B84E18F">
      <w:pPr>
        <w:pStyle w:val="51"/>
        <w:ind w:firstLine="420"/>
      </w:pPr>
      <w:r>
        <w:rPr>
          <w:rFonts w:hint="eastAsia"/>
        </w:rPr>
        <w:t>按照重大事故隐患的判定标准和国家有关规定判定为重大隐患的事项，重大隐患通常为易导致群死群伤的“人的不安全行为”、“物的不安全状态”和“安全管理缺陷”等关键因素。</w:t>
      </w:r>
    </w:p>
    <w:p w14:paraId="5BC6498F">
      <w:pPr>
        <w:pStyle w:val="71"/>
        <w:spacing w:before="316" w:after="316"/>
      </w:pPr>
      <w:bookmarkStart w:id="73" w:name="_Toc3361"/>
      <w:bookmarkStart w:id="74" w:name="_Toc21723"/>
      <w:r>
        <w:rPr>
          <w:rFonts w:hint="eastAsia"/>
        </w:rPr>
        <w:t>一般要求</w:t>
      </w:r>
      <w:bookmarkEnd w:id="73"/>
      <w:bookmarkEnd w:id="74"/>
    </w:p>
    <w:p w14:paraId="03BAF68D">
      <w:pPr>
        <w:pStyle w:val="81"/>
      </w:pPr>
      <w:r>
        <w:rPr>
          <w:rFonts w:hint="eastAsia"/>
        </w:rPr>
        <w:t>城镇燃气经营企业应全员参与安全风险分级管控和隐患排查治理工作。</w:t>
      </w:r>
    </w:p>
    <w:p w14:paraId="395CFC59">
      <w:pPr>
        <w:pStyle w:val="81"/>
      </w:pPr>
      <w:r>
        <w:rPr>
          <w:rFonts w:hint="eastAsia"/>
        </w:rPr>
        <w:t>城镇燃气经营企业应在现有安全生产组织机构的基础上，结合自身情况专门或合署成立双重预防机制建设工作领导小组，组织实施安全风险分级管控和隐患排查治理工作。</w:t>
      </w:r>
    </w:p>
    <w:p w14:paraId="204FA5C1">
      <w:pPr>
        <w:pStyle w:val="81"/>
      </w:pPr>
      <w:r>
        <w:rPr>
          <w:rFonts w:hint="eastAsia"/>
        </w:rPr>
        <w:t>双重预防机制建设工作领导小组的组成人员应至少包括企业主要负责人、安全生产分管负责人、安全生产管理人员、各职能部门负责人及关键岗位员工，并由企业主要负责人担任领导小组组长。</w:t>
      </w:r>
    </w:p>
    <w:p w14:paraId="4D823666">
      <w:pPr>
        <w:pStyle w:val="81"/>
      </w:pPr>
      <w:r>
        <w:rPr>
          <w:rFonts w:hint="eastAsia"/>
        </w:rPr>
        <w:t>双重预防机制建设领导小组的职责应包括但不限于：</w:t>
      </w:r>
    </w:p>
    <w:p w14:paraId="10963769">
      <w:pPr>
        <w:pStyle w:val="123"/>
      </w:pPr>
      <w:r>
        <w:rPr>
          <w:rFonts w:hint="eastAsia"/>
        </w:rPr>
        <w:t>制定工作方案；</w:t>
      </w:r>
    </w:p>
    <w:p w14:paraId="3B2D0F28">
      <w:pPr>
        <w:pStyle w:val="123"/>
      </w:pPr>
      <w:r>
        <w:rPr>
          <w:rFonts w:hint="eastAsia"/>
        </w:rPr>
        <w:t>制定培训计划；</w:t>
      </w:r>
    </w:p>
    <w:p w14:paraId="742D2DF7">
      <w:pPr>
        <w:pStyle w:val="123"/>
      </w:pPr>
      <w:r>
        <w:rPr>
          <w:rFonts w:hint="eastAsia"/>
        </w:rPr>
        <w:t>编制体系文件；</w:t>
      </w:r>
    </w:p>
    <w:p w14:paraId="2B55A109">
      <w:pPr>
        <w:pStyle w:val="123"/>
      </w:pPr>
      <w:r>
        <w:rPr>
          <w:rFonts w:hint="eastAsia"/>
        </w:rPr>
        <w:t>建立安全风险分级管控和隐患排查治理档案；</w:t>
      </w:r>
    </w:p>
    <w:p w14:paraId="44D42650">
      <w:pPr>
        <w:pStyle w:val="123"/>
      </w:pPr>
      <w:r>
        <w:rPr>
          <w:rFonts w:hint="eastAsia"/>
        </w:rPr>
        <w:t>落实安全风险分级管控和隐患排查治理工作资金投入；</w:t>
      </w:r>
    </w:p>
    <w:p w14:paraId="00F7CEEA">
      <w:pPr>
        <w:pStyle w:val="123"/>
      </w:pPr>
      <w:r>
        <w:rPr>
          <w:rFonts w:hint="eastAsia"/>
        </w:rPr>
        <w:t>制定安全风险分级管控制度、生产安全事故隐患排查治理制度及其他相关工作制度；</w:t>
      </w:r>
    </w:p>
    <w:p w14:paraId="44185F67">
      <w:pPr>
        <w:pStyle w:val="123"/>
      </w:pPr>
      <w:r>
        <w:rPr>
          <w:rFonts w:hint="eastAsia"/>
        </w:rPr>
        <w:t>定期召开工作会议，督促、检查本单位的安全风险分级管控和隐患排查治理工作情况；</w:t>
      </w:r>
    </w:p>
    <w:p w14:paraId="4D998FAB">
      <w:pPr>
        <w:pStyle w:val="123"/>
      </w:pPr>
      <w:r>
        <w:rPr>
          <w:rFonts w:hint="eastAsia"/>
        </w:rPr>
        <w:t>将安全风险分级管控和隐患排查治理工作纳入单位安全生产责任制考核内容，定期考核工作落实效果。</w:t>
      </w:r>
    </w:p>
    <w:p w14:paraId="7DA0BA2C">
      <w:pPr>
        <w:pStyle w:val="81"/>
      </w:pPr>
      <w:r>
        <w:rPr>
          <w:rFonts w:hint="eastAsia"/>
        </w:rPr>
        <w:t>城镇燃气经营企业应将双重预防机制建设工作成果资料和运行工作资料归档，归档资料的内容包括但不限于以下方面：</w:t>
      </w:r>
    </w:p>
    <w:p w14:paraId="61AD0FBB">
      <w:pPr>
        <w:pStyle w:val="123"/>
      </w:pPr>
      <w:r>
        <w:rPr>
          <w:rFonts w:hint="eastAsia"/>
        </w:rPr>
        <w:t>明确双重预防机制建设工作责任部门的文件；</w:t>
      </w:r>
    </w:p>
    <w:p w14:paraId="443BF305">
      <w:pPr>
        <w:pStyle w:val="123"/>
      </w:pPr>
      <w:r>
        <w:rPr>
          <w:rFonts w:hint="eastAsia"/>
        </w:rPr>
        <w:t>双重预防机制建设工作方案；</w:t>
      </w:r>
    </w:p>
    <w:p w14:paraId="55E51557">
      <w:pPr>
        <w:pStyle w:val="123"/>
      </w:pPr>
      <w:r>
        <w:rPr>
          <w:rFonts w:hint="eastAsia"/>
        </w:rPr>
        <w:t>教育培训计划及记录；</w:t>
      </w:r>
    </w:p>
    <w:p w14:paraId="26600F2D">
      <w:pPr>
        <w:pStyle w:val="123"/>
      </w:pPr>
      <w:r>
        <w:rPr>
          <w:rFonts w:hint="eastAsia"/>
        </w:rPr>
        <w:t>安全风险辨识和分级管控清单；</w:t>
      </w:r>
    </w:p>
    <w:p w14:paraId="470DC50C">
      <w:pPr>
        <w:pStyle w:val="123"/>
      </w:pPr>
      <w:r>
        <w:rPr>
          <w:rFonts w:hint="eastAsia"/>
        </w:rPr>
        <w:t>安全风险图；</w:t>
      </w:r>
    </w:p>
    <w:p w14:paraId="779F7750">
      <w:pPr>
        <w:pStyle w:val="123"/>
      </w:pPr>
      <w:r>
        <w:rPr>
          <w:rFonts w:hint="eastAsia"/>
        </w:rPr>
        <w:t>隐患排查治理过程资料；</w:t>
      </w:r>
    </w:p>
    <w:p w14:paraId="034E8918">
      <w:pPr>
        <w:pStyle w:val="123"/>
      </w:pPr>
      <w:r>
        <w:rPr>
          <w:rFonts w:hint="eastAsia"/>
        </w:rPr>
        <w:t>存在重大风险的制定重大风险专项管控方案；</w:t>
      </w:r>
    </w:p>
    <w:p w14:paraId="0DD7D3BA">
      <w:pPr>
        <w:pStyle w:val="123"/>
      </w:pPr>
      <w:r>
        <w:rPr>
          <w:rFonts w:hint="eastAsia"/>
        </w:rPr>
        <w:t>存在重大隐患的制定重大隐患治理方案；</w:t>
      </w:r>
    </w:p>
    <w:p w14:paraId="7CBC1FC8">
      <w:pPr>
        <w:pStyle w:val="123"/>
      </w:pPr>
      <w:r>
        <w:rPr>
          <w:rFonts w:hint="eastAsia"/>
        </w:rPr>
        <w:t>内部审核报告。</w:t>
      </w:r>
    </w:p>
    <w:p w14:paraId="0EA6D532">
      <w:pPr>
        <w:pStyle w:val="71"/>
        <w:spacing w:before="316" w:after="316"/>
      </w:pPr>
      <w:bookmarkStart w:id="75" w:name="_Toc30877"/>
      <w:bookmarkStart w:id="76" w:name="_Toc26830"/>
      <w:r>
        <w:rPr>
          <w:rFonts w:hint="eastAsia"/>
        </w:rPr>
        <w:t>基本流程</w:t>
      </w:r>
      <w:bookmarkEnd w:id="75"/>
      <w:bookmarkEnd w:id="76"/>
    </w:p>
    <w:p w14:paraId="42E79552">
      <w:pPr>
        <w:pStyle w:val="81"/>
      </w:pPr>
      <w:r>
        <w:rPr>
          <w:rFonts w:hint="eastAsia"/>
        </w:rPr>
        <w:t>城镇燃气经营企业应以风险为主线构建系统化、规范化及常态化的双重预防工作机制，基本流程包括规范具体工作流程和方法、培训人员、实施、评估与持续改进，宜根据图1开展双重预防机制建设。</w:t>
      </w:r>
    </w:p>
    <w:p w14:paraId="75D9BD52">
      <w:pPr>
        <w:pStyle w:val="51"/>
        <w:ind w:firstLine="0" w:firstLineChars="0"/>
        <w:jc w:val="center"/>
      </w:pPr>
      <w:r>
        <w:drawing>
          <wp:inline distT="0" distB="0" distL="114300" distR="114300">
            <wp:extent cx="3368040" cy="4274820"/>
            <wp:effectExtent l="0" t="0" r="0"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30" cstate="print">
                      <a:clrChange>
                        <a:clrFrom>
                          <a:srgbClr val="FFFFFF"/>
                        </a:clrFrom>
                        <a:clrTo>
                          <a:srgbClr val="FFFFFF">
                            <a:alpha val="0"/>
                          </a:srgbClr>
                        </a:clrTo>
                      </a:clrChange>
                    </a:blip>
                    <a:stretch>
                      <a:fillRect/>
                    </a:stretch>
                  </pic:blipFill>
                  <pic:spPr>
                    <a:xfrm>
                      <a:off x="0" y="0"/>
                      <a:ext cx="3368040" cy="4274820"/>
                    </a:xfrm>
                    <a:prstGeom prst="rect">
                      <a:avLst/>
                    </a:prstGeom>
                    <a:noFill/>
                    <a:ln>
                      <a:noFill/>
                    </a:ln>
                  </pic:spPr>
                </pic:pic>
              </a:graphicData>
            </a:graphic>
          </wp:inline>
        </w:drawing>
      </w:r>
    </w:p>
    <w:p w14:paraId="5A1AF7D0">
      <w:pPr>
        <w:pStyle w:val="76"/>
        <w:spacing w:before="158" w:after="158"/>
      </w:pPr>
      <w:r>
        <w:rPr>
          <w:rFonts w:hint="eastAsia"/>
        </w:rPr>
        <w:t>安全风险分级管控和隐患排查治理机制建设基本流程</w:t>
      </w:r>
    </w:p>
    <w:p w14:paraId="4155EEE5">
      <w:pPr>
        <w:pStyle w:val="81"/>
      </w:pPr>
      <w:r>
        <w:rPr>
          <w:rFonts w:hint="eastAsia"/>
        </w:rPr>
        <w:t>企业双重预防机制建设基本内容包括：</w:t>
      </w:r>
    </w:p>
    <w:p w14:paraId="1CDA547E">
      <w:pPr>
        <w:pStyle w:val="123"/>
      </w:pPr>
      <w:r>
        <w:rPr>
          <w:rFonts w:hint="eastAsia"/>
        </w:rPr>
        <w:t>策划和准备；</w:t>
      </w:r>
    </w:p>
    <w:p w14:paraId="2EA9A639">
      <w:pPr>
        <w:pStyle w:val="123"/>
      </w:pPr>
      <w:r>
        <w:rPr>
          <w:rFonts w:hint="eastAsia"/>
        </w:rPr>
        <w:t>风险辨识、评估与管控；</w:t>
      </w:r>
    </w:p>
    <w:p w14:paraId="4794BA83">
      <w:pPr>
        <w:pStyle w:val="123"/>
      </w:pPr>
      <w:r>
        <w:rPr>
          <w:rFonts w:hint="eastAsia"/>
        </w:rPr>
        <w:t>隐患排查治理。</w:t>
      </w:r>
    </w:p>
    <w:p w14:paraId="4CF52450">
      <w:pPr>
        <w:pStyle w:val="71"/>
        <w:spacing w:before="316" w:after="316"/>
      </w:pPr>
      <w:bookmarkStart w:id="77" w:name="_Toc21824"/>
      <w:bookmarkStart w:id="78" w:name="_Toc10336"/>
      <w:r>
        <w:rPr>
          <w:rFonts w:hint="eastAsia"/>
        </w:rPr>
        <w:t>策划和准备</w:t>
      </w:r>
      <w:bookmarkEnd w:id="77"/>
      <w:bookmarkEnd w:id="78"/>
    </w:p>
    <w:p w14:paraId="7DBEDCC3">
      <w:pPr>
        <w:pStyle w:val="81"/>
      </w:pPr>
      <w:r>
        <w:rPr>
          <w:rFonts w:hint="eastAsia"/>
        </w:rPr>
        <w:t>城镇燃气经营企业应以正式文件明确双重预防机制建设工作责任部门。</w:t>
      </w:r>
    </w:p>
    <w:p w14:paraId="41E84DCB">
      <w:pPr>
        <w:pStyle w:val="81"/>
      </w:pPr>
      <w:r>
        <w:rPr>
          <w:rFonts w:hint="eastAsia"/>
        </w:rPr>
        <w:t>城镇燃气经营企业应围绕双重预防机制建设与运行分阶段开展针对性培训教育</w:t>
      </w:r>
      <w:r>
        <w:rPr>
          <w:rFonts w:hint="eastAsia"/>
          <w:color w:val="FF0000"/>
        </w:rPr>
        <w:t>：</w:t>
      </w:r>
    </w:p>
    <w:p w14:paraId="101E97B2">
      <w:pPr>
        <w:pStyle w:val="123"/>
      </w:pPr>
      <w:r>
        <w:rPr>
          <w:rFonts w:hint="eastAsia"/>
        </w:rPr>
        <w:t>双重预防机制建设期应开展专题培训；</w:t>
      </w:r>
    </w:p>
    <w:p w14:paraId="49F8B513">
      <w:pPr>
        <w:pStyle w:val="123"/>
      </w:pPr>
      <w:r>
        <w:rPr>
          <w:rFonts w:hint="eastAsia"/>
        </w:rPr>
        <w:t>双重预防机制运行期应纳入年度培训计划。</w:t>
      </w:r>
    </w:p>
    <w:p w14:paraId="3AD55C12">
      <w:pPr>
        <w:pStyle w:val="81"/>
      </w:pPr>
      <w:r>
        <w:rPr>
          <w:rFonts w:hint="eastAsia"/>
        </w:rPr>
        <w:t>城镇燃气经营企业应针对双重预防工作职责分层次开展教育培训</w:t>
      </w:r>
      <w:r>
        <w:rPr>
          <w:rFonts w:hint="eastAsia"/>
          <w:color w:val="FF0000"/>
        </w:rPr>
        <w:t>：</w:t>
      </w:r>
    </w:p>
    <w:p w14:paraId="517463B6">
      <w:pPr>
        <w:pStyle w:val="123"/>
      </w:pPr>
      <w:r>
        <w:rPr>
          <w:rFonts w:hint="eastAsia"/>
        </w:rPr>
        <w:t>领导层培训以责任意识为主题，主要内容包括双重预防机制的工作背景、法规、政策文件及标准规范的要求、工作职责、基础概念与理论知识等</w:t>
      </w:r>
      <w:r>
        <w:rPr>
          <w:rFonts w:hint="eastAsia"/>
          <w:color w:val="000000" w:themeColor="text1"/>
        </w:rPr>
        <w:t>。</w:t>
      </w:r>
    </w:p>
    <w:p w14:paraId="37B42B16">
      <w:pPr>
        <w:pStyle w:val="123"/>
      </w:pPr>
      <w:r>
        <w:rPr>
          <w:rFonts w:hint="eastAsia"/>
        </w:rPr>
        <w:t>专业技术人员培训以知识和技能为主题，主要内容包括双重预防机制相关标准规范、基础概念与理论、规范建设流程及内容、危险源辨识和评估技术、风险控制技术、隐患排查治理闭环管理和过程管理要求等</w:t>
      </w:r>
      <w:r>
        <w:rPr>
          <w:rFonts w:hint="eastAsia"/>
          <w:color w:val="000000" w:themeColor="text1"/>
        </w:rPr>
        <w:t>。</w:t>
      </w:r>
    </w:p>
    <w:p w14:paraId="4772E64F">
      <w:pPr>
        <w:pStyle w:val="123"/>
      </w:pPr>
      <w:r>
        <w:rPr>
          <w:rFonts w:hint="eastAsia"/>
        </w:rPr>
        <w:t>全员培训以提升风险意识和参与岗位风险管控和隐患排查能力为主题，主要内容包括风险管理理念、安全风险管控责任、岗位风险辨识和管控清单、隐患排查事项等。</w:t>
      </w:r>
    </w:p>
    <w:p w14:paraId="2BD18C87">
      <w:pPr>
        <w:pStyle w:val="81"/>
      </w:pPr>
      <w:r>
        <w:rPr>
          <w:rFonts w:hint="eastAsia"/>
        </w:rPr>
        <w:t>城镇燃气经营企业应制定工作方案，明确双重预防工作目标、实施内容、保障措施、进度和责任要求等内容。</w:t>
      </w:r>
    </w:p>
    <w:p w14:paraId="0A111705">
      <w:pPr>
        <w:pStyle w:val="81"/>
      </w:pPr>
      <w:r>
        <w:rPr>
          <w:rFonts w:hint="eastAsia"/>
        </w:rPr>
        <w:t>城镇燃气经营企业应制定规范具体工作程序和方法的作业指导书或指南。</w:t>
      </w:r>
    </w:p>
    <w:p w14:paraId="109B05FB">
      <w:pPr>
        <w:pStyle w:val="81"/>
      </w:pPr>
      <w:r>
        <w:rPr>
          <w:rFonts w:hint="eastAsia"/>
        </w:rPr>
        <w:t>城镇燃气经营企业应收集、处理与双重预防机制建设相关资源与信息，包括但不限于以下方面：</w:t>
      </w:r>
    </w:p>
    <w:p w14:paraId="5E606F07">
      <w:pPr>
        <w:pStyle w:val="123"/>
      </w:pPr>
      <w:r>
        <w:rPr>
          <w:rFonts w:hint="eastAsia"/>
        </w:rPr>
        <w:t>行业规范和标准；</w:t>
      </w:r>
    </w:p>
    <w:p w14:paraId="7747555B">
      <w:pPr>
        <w:pStyle w:val="123"/>
      </w:pPr>
      <w:r>
        <w:rPr>
          <w:rFonts w:hint="eastAsia"/>
        </w:rPr>
        <w:t>区域位置图、总图、工艺图等图纸；</w:t>
      </w:r>
    </w:p>
    <w:p w14:paraId="7DDBF5B7">
      <w:pPr>
        <w:pStyle w:val="123"/>
      </w:pPr>
      <w:r>
        <w:rPr>
          <w:rFonts w:hint="eastAsia"/>
        </w:rPr>
        <w:t>工艺物料的理化性质说明书；</w:t>
      </w:r>
    </w:p>
    <w:p w14:paraId="2CC7E48D">
      <w:pPr>
        <w:pStyle w:val="123"/>
      </w:pPr>
      <w:r>
        <w:rPr>
          <w:rFonts w:hint="eastAsia"/>
        </w:rPr>
        <w:t>设施、设备说明书；</w:t>
      </w:r>
    </w:p>
    <w:p w14:paraId="343F634A">
      <w:pPr>
        <w:pStyle w:val="123"/>
      </w:pPr>
      <w:r>
        <w:rPr>
          <w:rFonts w:hint="eastAsia"/>
        </w:rPr>
        <w:t>作业现场和周边条件；</w:t>
      </w:r>
    </w:p>
    <w:p w14:paraId="6DBAF826">
      <w:pPr>
        <w:pStyle w:val="123"/>
      </w:pPr>
      <w:r>
        <w:rPr>
          <w:rFonts w:hint="eastAsia"/>
        </w:rPr>
        <w:t>相关设备、设施的法定检验、检测报告；</w:t>
      </w:r>
    </w:p>
    <w:p w14:paraId="20F74A8F">
      <w:pPr>
        <w:pStyle w:val="123"/>
      </w:pPr>
      <w:r>
        <w:rPr>
          <w:rFonts w:hint="eastAsia"/>
        </w:rPr>
        <w:t>安全培训教育资料；</w:t>
      </w:r>
    </w:p>
    <w:p w14:paraId="027AE68C">
      <w:pPr>
        <w:pStyle w:val="123"/>
      </w:pPr>
      <w:r>
        <w:rPr>
          <w:rFonts w:hint="eastAsia"/>
        </w:rPr>
        <w:t>运行记录、维修措施及应急处置措施；</w:t>
      </w:r>
    </w:p>
    <w:p w14:paraId="0D9F856E">
      <w:pPr>
        <w:pStyle w:val="123"/>
      </w:pPr>
      <w:r>
        <w:rPr>
          <w:rFonts w:hint="eastAsia"/>
        </w:rPr>
        <w:t>安全管理制度、安全技术规程和应急预案；</w:t>
      </w:r>
    </w:p>
    <w:p w14:paraId="06B04E14">
      <w:pPr>
        <w:pStyle w:val="123"/>
      </w:pPr>
      <w:r>
        <w:rPr>
          <w:rFonts w:hint="eastAsia"/>
        </w:rPr>
        <w:t>本企业及相关行业事故案例等；</w:t>
      </w:r>
    </w:p>
    <w:p w14:paraId="7D4129A3">
      <w:pPr>
        <w:pStyle w:val="123"/>
      </w:pPr>
      <w:r>
        <w:rPr>
          <w:rFonts w:hint="eastAsia"/>
        </w:rPr>
        <w:t>相关风险管理资料。</w:t>
      </w:r>
    </w:p>
    <w:p w14:paraId="55C7C62C">
      <w:pPr>
        <w:pStyle w:val="71"/>
        <w:spacing w:before="316" w:after="316"/>
      </w:pPr>
      <w:bookmarkStart w:id="79" w:name="_Toc8158"/>
      <w:bookmarkStart w:id="80" w:name="_Toc26171"/>
      <w:r>
        <w:rPr>
          <w:rFonts w:hint="eastAsia"/>
        </w:rPr>
        <w:t>风险辨识、评估与管控</w:t>
      </w:r>
      <w:bookmarkEnd w:id="79"/>
      <w:bookmarkEnd w:id="80"/>
    </w:p>
    <w:p w14:paraId="0C5459BE">
      <w:pPr>
        <w:pStyle w:val="82"/>
        <w:spacing w:before="158" w:after="158"/>
      </w:pPr>
      <w:bookmarkStart w:id="81" w:name="_Toc709"/>
      <w:bookmarkStart w:id="82" w:name="_Toc19650"/>
      <w:r>
        <w:rPr>
          <w:rFonts w:hint="eastAsia"/>
        </w:rPr>
        <w:t>风险辨识</w:t>
      </w:r>
      <w:bookmarkEnd w:id="81"/>
      <w:bookmarkEnd w:id="82"/>
    </w:p>
    <w:p w14:paraId="2915FA75">
      <w:pPr>
        <w:pStyle w:val="96"/>
      </w:pPr>
      <w:r>
        <w:rPr>
          <w:rFonts w:hint="eastAsia"/>
        </w:rPr>
        <w:t>城镇燃气经营企业应系统、全面、无遗漏的进行危险源辨识，覆盖全部场所和区域，包括承包商占用的场所和区域。危险源辨识的范围应包括但不限于：</w:t>
      </w:r>
    </w:p>
    <w:p w14:paraId="7107C231">
      <w:pPr>
        <w:pStyle w:val="63"/>
      </w:pPr>
      <w:r>
        <w:rPr>
          <w:rFonts w:hint="eastAsia"/>
        </w:rPr>
        <w:t>设备设施类：涵盖存在能量或有毒有害物质的载体；</w:t>
      </w:r>
    </w:p>
    <w:p w14:paraId="36F24B8B">
      <w:pPr>
        <w:pStyle w:val="63"/>
      </w:pPr>
      <w:r>
        <w:rPr>
          <w:rFonts w:hint="eastAsia"/>
        </w:rPr>
        <w:t>作业活动类：涵盖常规作业活动和非常规作业活动（包含生产经营项目、场所发包或者出租给其他单位的）；</w:t>
      </w:r>
    </w:p>
    <w:p w14:paraId="1BC59956">
      <w:pPr>
        <w:pStyle w:val="63"/>
      </w:pPr>
      <w:r>
        <w:rPr>
          <w:rFonts w:hint="eastAsia"/>
        </w:rPr>
        <w:t>作业环境类：涵盖地面湿滑、作业场所狭窄、作业场所杂乱、采光照明不良等环境类因素；</w:t>
      </w:r>
    </w:p>
    <w:p w14:paraId="58769CFC">
      <w:pPr>
        <w:pStyle w:val="63"/>
      </w:pPr>
      <w:r>
        <w:rPr>
          <w:rFonts w:hint="eastAsia"/>
        </w:rPr>
        <w:t>其他类：其他依据生产经营实际情况需补充的。</w:t>
      </w:r>
    </w:p>
    <w:p w14:paraId="345C8DBA">
      <w:pPr>
        <w:pStyle w:val="96"/>
      </w:pPr>
      <w:r>
        <w:rPr>
          <w:rFonts w:hint="eastAsia"/>
        </w:rPr>
        <w:t>城镇燃气经营企业应按照“大小适中、功能独立、便于分类、易于管理、责任明确”的原则划分危险源辨识单元。识别出各单元所有设备设施、所有常规和非常规状态的操作及作业活动，并分类填写《设备设施清单》（参见附录A）和《作业活动清单》（参见附录A）。</w:t>
      </w:r>
    </w:p>
    <w:p w14:paraId="13F8B485">
      <w:pPr>
        <w:pStyle w:val="96"/>
      </w:pPr>
      <w:r>
        <w:rPr>
          <w:rFonts w:hint="eastAsia"/>
        </w:rPr>
        <w:t>对于各个危险源辨识单元，宜按照以下步骤进行危险源辨识：</w:t>
      </w:r>
    </w:p>
    <w:p w14:paraId="0DDB5886">
      <w:pPr>
        <w:pStyle w:val="123"/>
      </w:pPr>
      <w:r>
        <w:rPr>
          <w:rFonts w:hint="eastAsia"/>
        </w:rPr>
        <w:t>系统查找危险源辨识单元中涉及的危险物质、能量或能量载体；</w:t>
      </w:r>
    </w:p>
    <w:p w14:paraId="7D75FF93">
      <w:pPr>
        <w:pStyle w:val="123"/>
      </w:pPr>
      <w:r>
        <w:rPr>
          <w:rFonts w:hint="eastAsia"/>
        </w:rPr>
        <w:t>参照GB 6441、GB/T 13861从人的不安全行为、物的不安全状态、不良环境和管理缺陷等方面分析危险物质、能量或能量载体存在的方式、转移途径及其变化的规律，分析过程应充分考虑危险源的三种状态（即正常、异常和紧急）和三种时态（即过去、现在和将来）</w:t>
      </w:r>
      <w:r>
        <w:rPr>
          <w:rFonts w:hint="eastAsia"/>
          <w:color w:val="FF0000"/>
        </w:rPr>
        <w:t>。（；）</w:t>
      </w:r>
    </w:p>
    <w:p w14:paraId="2AC2D8AC">
      <w:pPr>
        <w:pStyle w:val="123"/>
      </w:pPr>
      <w:r>
        <w:rPr>
          <w:rFonts w:hint="eastAsia"/>
        </w:rPr>
        <w:t>对照GB 6441列出危险源辨识单元可能存在的安全风险（事故）类型</w:t>
      </w:r>
      <w:r>
        <w:rPr>
          <w:rFonts w:hint="eastAsia"/>
          <w:color w:val="FF0000"/>
        </w:rPr>
        <w:t>。（；）</w:t>
      </w:r>
    </w:p>
    <w:p w14:paraId="7D0FD32C">
      <w:pPr>
        <w:pStyle w:val="123"/>
      </w:pPr>
      <w:r>
        <w:rPr>
          <w:rFonts w:hint="eastAsia"/>
        </w:rPr>
        <w:t>结合危险源分析清晰描述诱导安全风险的触发事件。</w:t>
      </w:r>
    </w:p>
    <w:p w14:paraId="55EF566B">
      <w:pPr>
        <w:pStyle w:val="96"/>
      </w:pPr>
      <w:r>
        <w:rPr>
          <w:rFonts w:hint="eastAsia"/>
        </w:rPr>
        <w:t>城镇燃气经营企业生产过程中的危险源辨识宜采用工作危害分析法（JHA），对于生产设备设施的危险源辨识宜采用安全检查表法（SCL）。</w:t>
      </w:r>
    </w:p>
    <w:p w14:paraId="05036E85">
      <w:pPr>
        <w:pStyle w:val="96"/>
      </w:pPr>
      <w:r>
        <w:rPr>
          <w:rFonts w:hint="eastAsia"/>
        </w:rPr>
        <w:t>城镇燃气经营企业应将危险源辨识的结果填入《安全风险辨识和管控清单》（参见附录B）。</w:t>
      </w:r>
    </w:p>
    <w:p w14:paraId="7D0E7ED6">
      <w:pPr>
        <w:pStyle w:val="96"/>
      </w:pPr>
      <w:r>
        <w:rPr>
          <w:rFonts w:hint="eastAsia"/>
        </w:rPr>
        <w:t>城镇燃气经营企业应按照GB 18218进行危险化学品重大危险源的辨识。</w:t>
      </w:r>
    </w:p>
    <w:p w14:paraId="3ECAF17E">
      <w:pPr>
        <w:pStyle w:val="82"/>
        <w:spacing w:before="158" w:after="158"/>
      </w:pPr>
      <w:bookmarkStart w:id="83" w:name="_Toc21742"/>
      <w:bookmarkStart w:id="84" w:name="_Toc1896"/>
      <w:r>
        <w:rPr>
          <w:rFonts w:hint="eastAsia"/>
        </w:rPr>
        <w:t>风险评估</w:t>
      </w:r>
      <w:bookmarkEnd w:id="83"/>
      <w:bookmarkEnd w:id="84"/>
    </w:p>
    <w:p w14:paraId="437D3CE2">
      <w:pPr>
        <w:pStyle w:val="96"/>
      </w:pPr>
      <w:r>
        <w:rPr>
          <w:rFonts w:hint="eastAsia"/>
        </w:rPr>
        <w:t>城镇燃气经营企业应对辨识出的各项安全风险类型进行安全风险评估，分别确定其固有风险等级和残余风险等级。</w:t>
      </w:r>
    </w:p>
    <w:p w14:paraId="2F85E529">
      <w:pPr>
        <w:pStyle w:val="96"/>
      </w:pPr>
      <w:r>
        <w:rPr>
          <w:rFonts w:hint="eastAsia"/>
        </w:rPr>
        <w:t>城镇燃气经营企业安全风险评估应依据GB/T 27921采取定性、定量或定性与定量结合的方法：</w:t>
      </w:r>
    </w:p>
    <w:p w14:paraId="1A25EAD0">
      <w:pPr>
        <w:pStyle w:val="123"/>
      </w:pPr>
      <w:r>
        <w:rPr>
          <w:rFonts w:hint="eastAsia"/>
        </w:rPr>
        <w:t>安全风险评估推荐采用风险矩阵分析法（LS）（参见附录C），也可采用作业条件危险性分析法（LEC）（参见附录D）或其他方法；</w:t>
      </w:r>
    </w:p>
    <w:p w14:paraId="3DECA4B0">
      <w:pPr>
        <w:pStyle w:val="123"/>
      </w:pPr>
      <w:r>
        <w:rPr>
          <w:rFonts w:hint="eastAsia"/>
        </w:rPr>
        <w:t>存在危险化学品重大危险源的应采用定量风险评估；</w:t>
      </w:r>
    </w:p>
    <w:p w14:paraId="4941CB44">
      <w:pPr>
        <w:pStyle w:val="123"/>
      </w:pPr>
      <w:r>
        <w:rPr>
          <w:rFonts w:hint="eastAsia"/>
        </w:rPr>
        <w:t>企业已建立风险评估标准并取得行业内或专业机构认可的，按其执行。</w:t>
      </w:r>
    </w:p>
    <w:p w14:paraId="40BE1D1C">
      <w:pPr>
        <w:pStyle w:val="96"/>
      </w:pPr>
      <w:r>
        <w:rPr>
          <w:rFonts w:hint="eastAsia"/>
        </w:rPr>
        <w:t>城镇燃气经营企业应按照风险等级从高到低划分为重大风险、较大风险、一般风险和低风险，分别用“红、橙、黄、蓝”四种颜色标识，风险评估得到的结果应合理对应到重大风险、较大风险、一般风险和低风险四个等级。由风险矩阵分析法（LS）、作业条件危险性分析法（LEC）得到的评估结果与安全风险分级的对照参见附录E。</w:t>
      </w:r>
    </w:p>
    <w:p w14:paraId="20D826DC">
      <w:pPr>
        <w:pStyle w:val="96"/>
      </w:pPr>
      <w:r>
        <w:rPr>
          <w:rFonts w:hint="eastAsia"/>
        </w:rPr>
        <w:t>固有风险中涉及下列情形之一的应判定为重大风险：</w:t>
      </w:r>
    </w:p>
    <w:p w14:paraId="46176EB9">
      <w:pPr>
        <w:pStyle w:val="123"/>
      </w:pPr>
      <w:r>
        <w:rPr>
          <w:rFonts w:hint="eastAsia"/>
        </w:rPr>
        <w:t>构成危险化学品重大危险源的；</w:t>
      </w:r>
    </w:p>
    <w:p w14:paraId="2CFA4DB0">
      <w:pPr>
        <w:pStyle w:val="123"/>
      </w:pPr>
      <w:r>
        <w:rPr>
          <w:rFonts w:hint="eastAsia"/>
        </w:rPr>
        <w:t>存在《城镇燃气经营安全重大隐患判定标准》规定情形之一的；</w:t>
      </w:r>
    </w:p>
    <w:p w14:paraId="7503DB7F">
      <w:pPr>
        <w:pStyle w:val="123"/>
      </w:pPr>
      <w:r>
        <w:rPr>
          <w:rFonts w:hint="eastAsia"/>
        </w:rPr>
        <w:t>存在按照GB 35181《重大火灾隐患判定方法》判定的重大火灾隐患情形之一的；</w:t>
      </w:r>
    </w:p>
    <w:p w14:paraId="035F3C98">
      <w:pPr>
        <w:pStyle w:val="123"/>
      </w:pPr>
      <w:r>
        <w:rPr>
          <w:rFonts w:hint="eastAsia"/>
        </w:rPr>
        <w:t>存在《特种设备安全检查监督办法》规定的严重事故隐患情形之一的；</w:t>
      </w:r>
    </w:p>
    <w:p w14:paraId="3FD527E1">
      <w:pPr>
        <w:pStyle w:val="123"/>
      </w:pPr>
      <w:r>
        <w:rPr>
          <w:rFonts w:hint="eastAsia"/>
        </w:rPr>
        <w:t>发生过死亡、重伤、重大财产损失事故，或三次及以上轻伤、一般财产损失事故，且现在发生事故的条件依然存在的；</w:t>
      </w:r>
    </w:p>
    <w:p w14:paraId="1F750DB0">
      <w:pPr>
        <w:pStyle w:val="123"/>
      </w:pPr>
      <w:r>
        <w:rPr>
          <w:rFonts w:hint="eastAsia"/>
        </w:rPr>
        <w:t>安全风险评估方法得出的重大风险；</w:t>
      </w:r>
    </w:p>
    <w:p w14:paraId="22F61F9A">
      <w:pPr>
        <w:pStyle w:val="123"/>
      </w:pPr>
      <w:r>
        <w:rPr>
          <w:rFonts w:hint="eastAsia"/>
        </w:rPr>
        <w:t>企业认为应当作为重大风险管控的。</w:t>
      </w:r>
    </w:p>
    <w:p w14:paraId="5423A596">
      <w:pPr>
        <w:pStyle w:val="96"/>
      </w:pPr>
      <w:r>
        <w:rPr>
          <w:rFonts w:hint="eastAsia"/>
        </w:rPr>
        <w:t>固有风险中涉及下列情形之一的应判定为较大风险：</w:t>
      </w:r>
    </w:p>
    <w:p w14:paraId="2E614A37">
      <w:pPr>
        <w:pStyle w:val="123"/>
      </w:pPr>
      <w:r>
        <w:rPr>
          <w:rFonts w:hint="eastAsia"/>
        </w:rPr>
        <w:t>安全风险评估方法得出的较大风险；</w:t>
      </w:r>
    </w:p>
    <w:p w14:paraId="6F5C8D72">
      <w:pPr>
        <w:pStyle w:val="123"/>
      </w:pPr>
      <w:r>
        <w:rPr>
          <w:rFonts w:hint="eastAsia"/>
        </w:rPr>
        <w:t>企业认为应当作为较大风险管控的。</w:t>
      </w:r>
    </w:p>
    <w:p w14:paraId="79F99FEF">
      <w:pPr>
        <w:pStyle w:val="96"/>
      </w:pPr>
      <w:r>
        <w:rPr>
          <w:rFonts w:hint="eastAsia"/>
        </w:rPr>
        <w:t>危险源辨识单元的固有风险等级、残余风险等级按照单元内各危险源的固有风险评估结果、残余风险评估结果的最高等级确定。</w:t>
      </w:r>
    </w:p>
    <w:p w14:paraId="04D82109">
      <w:pPr>
        <w:pStyle w:val="96"/>
      </w:pPr>
      <w:r>
        <w:rPr>
          <w:rFonts w:hint="eastAsia"/>
        </w:rPr>
        <w:t>城镇燃气经营企业应将风险评估结果填入《安全风险辨识和管控清单》。</w:t>
      </w:r>
    </w:p>
    <w:p w14:paraId="030672B7">
      <w:pPr>
        <w:pStyle w:val="82"/>
        <w:spacing w:before="158" w:after="158"/>
      </w:pPr>
      <w:bookmarkStart w:id="85" w:name="_Toc20652"/>
      <w:bookmarkStart w:id="86" w:name="_Toc29971"/>
      <w:r>
        <w:rPr>
          <w:rFonts w:hint="eastAsia"/>
        </w:rPr>
        <w:t>风险管控</w:t>
      </w:r>
      <w:bookmarkEnd w:id="85"/>
      <w:bookmarkEnd w:id="86"/>
    </w:p>
    <w:p w14:paraId="6769CC89">
      <w:pPr>
        <w:pStyle w:val="96"/>
      </w:pPr>
      <w:r>
        <w:rPr>
          <w:rFonts w:hint="eastAsia"/>
        </w:rPr>
        <w:t>城镇燃气经营企业应依据GB/T 24353制定安全风险管控方针，选择规避、减轻、转移或接受风险。</w:t>
      </w:r>
    </w:p>
    <w:p w14:paraId="67DB6D19">
      <w:pPr>
        <w:pStyle w:val="96"/>
      </w:pPr>
      <w:r>
        <w:rPr>
          <w:rFonts w:hint="eastAsia"/>
        </w:rPr>
        <w:t>城镇燃气经营企业应根据法规、政策规定与标准、规范的规定，从工程技术、安全管理、人员培训、个体防护、应急处置等方面进行改进和完善安全风险管控措施，并填入《安全风险辨识和管控清单》</w:t>
      </w:r>
      <w:r>
        <w:rPr>
          <w:rFonts w:hint="eastAsia"/>
          <w:color w:val="000000" w:themeColor="text1"/>
        </w:rPr>
        <w:t>。</w:t>
      </w:r>
    </w:p>
    <w:p w14:paraId="70123377">
      <w:pPr>
        <w:pStyle w:val="123"/>
      </w:pPr>
      <w:r>
        <w:rPr>
          <w:rFonts w:hint="eastAsia"/>
        </w:rPr>
        <w:t>工程技术：以符合适用现行国家和行业标准规范和安全规程为最低标准，按照预防、控制、应急的顺序完善工程技术措施</w:t>
      </w:r>
      <w:r>
        <w:rPr>
          <w:rFonts w:hint="eastAsia"/>
          <w:color w:val="000000" w:themeColor="text1"/>
        </w:rPr>
        <w:t>。</w:t>
      </w:r>
    </w:p>
    <w:p w14:paraId="682AE99E">
      <w:pPr>
        <w:pStyle w:val="123"/>
      </w:pPr>
      <w:r>
        <w:rPr>
          <w:rFonts w:hint="eastAsia"/>
        </w:rPr>
        <w:t>安全管理：制定和完善责任制、规章制度、岗位安全技术规程及安全操作规程并严格落实。</w:t>
      </w:r>
    </w:p>
    <w:p w14:paraId="17E2D686">
      <w:pPr>
        <w:pStyle w:val="123"/>
      </w:pPr>
      <w:r>
        <w:rPr>
          <w:rFonts w:hint="eastAsia"/>
        </w:rPr>
        <w:t>培训教育：落实主要负责人、安全生产管理人员、从业人员、特种作业人员以及承包商等的安全教育培训</w:t>
      </w:r>
      <w:r>
        <w:rPr>
          <w:rFonts w:hint="eastAsia"/>
          <w:color w:val="000000" w:themeColor="text1"/>
        </w:rPr>
        <w:t>。</w:t>
      </w:r>
    </w:p>
    <w:p w14:paraId="09B7903B">
      <w:pPr>
        <w:pStyle w:val="123"/>
      </w:pPr>
      <w:r>
        <w:rPr>
          <w:rFonts w:hint="eastAsia"/>
        </w:rPr>
        <w:t>个体防护：配备与作业岗位适应的个体防护装备，参见GB/T 11651</w:t>
      </w:r>
      <w:r>
        <w:rPr>
          <w:rFonts w:hint="eastAsia"/>
          <w:color w:val="000000" w:themeColor="text1"/>
        </w:rPr>
        <w:t>。</w:t>
      </w:r>
    </w:p>
    <w:p w14:paraId="294E0858">
      <w:pPr>
        <w:pStyle w:val="123"/>
      </w:pPr>
      <w:r>
        <w:rPr>
          <w:rFonts w:hint="eastAsia"/>
        </w:rPr>
        <w:t>应急处置：落实针对风险类型的应急预案、演练与评估、队伍及物资器材等。</w:t>
      </w:r>
    </w:p>
    <w:p w14:paraId="76E19626">
      <w:pPr>
        <w:pStyle w:val="96"/>
      </w:pPr>
      <w:r>
        <w:rPr>
          <w:rFonts w:hint="eastAsia"/>
        </w:rPr>
        <w:t>城镇燃气经营企业应按照安全风险类型和等级分层、分专业落实安全风险管控职责，安全风险管控层级的确定宜参照表1确定。安全风险管控的责任部门宜依据触发事件的业务归属确定，并将上述过程确定的结果填入《安全风险辨识和管控清单》。</w:t>
      </w:r>
    </w:p>
    <w:p w14:paraId="438C963D">
      <w:pPr>
        <w:pStyle w:val="128"/>
        <w:spacing w:before="158" w:after="158"/>
      </w:pPr>
      <w:r>
        <w:rPr>
          <w:rFonts w:hint="eastAsia"/>
        </w:rPr>
        <w:t>安全风险管控层级确定表</w:t>
      </w:r>
    </w:p>
    <w:tbl>
      <w:tblPr>
        <w:tblStyle w:val="27"/>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75"/>
        <w:gridCol w:w="1843"/>
        <w:gridCol w:w="1860"/>
        <w:gridCol w:w="1860"/>
        <w:gridCol w:w="1935"/>
      </w:tblGrid>
      <w:tr w14:paraId="33DF86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001" w:type="pct"/>
            <w:vMerge w:val="restart"/>
            <w:tcBorders>
              <w:right w:val="single" w:color="auto" w:sz="8" w:space="0"/>
            </w:tcBorders>
            <w:vAlign w:val="center"/>
          </w:tcPr>
          <w:p w14:paraId="3FE50038">
            <w:pPr>
              <w:pStyle w:val="201"/>
            </w:pPr>
            <w:r>
              <w:rPr>
                <w:rFonts w:hint="eastAsia"/>
              </w:rPr>
              <w:t>固有风险</w:t>
            </w:r>
          </w:p>
        </w:tc>
        <w:tc>
          <w:tcPr>
            <w:tcW w:w="3998" w:type="pct"/>
            <w:gridSpan w:val="4"/>
            <w:tcBorders>
              <w:left w:val="single" w:color="auto" w:sz="8" w:space="0"/>
            </w:tcBorders>
            <w:vAlign w:val="center"/>
          </w:tcPr>
          <w:p w14:paraId="19724E27">
            <w:pPr>
              <w:pStyle w:val="201"/>
            </w:pPr>
            <w:r>
              <w:rPr>
                <w:rFonts w:hint="eastAsia"/>
              </w:rPr>
              <w:t>残余风险</w:t>
            </w:r>
          </w:p>
        </w:tc>
      </w:tr>
      <w:tr w14:paraId="0E21E4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1" w:type="pct"/>
            <w:vMerge w:val="continue"/>
            <w:tcBorders>
              <w:right w:val="single" w:color="auto" w:sz="8" w:space="0"/>
            </w:tcBorders>
          </w:tcPr>
          <w:p w14:paraId="1BFC721D">
            <w:pPr>
              <w:pStyle w:val="201"/>
            </w:pPr>
          </w:p>
        </w:tc>
        <w:tc>
          <w:tcPr>
            <w:tcW w:w="983" w:type="pct"/>
            <w:tcBorders>
              <w:top w:val="single" w:color="auto" w:sz="4" w:space="0"/>
              <w:left w:val="single" w:color="auto" w:sz="8" w:space="0"/>
              <w:bottom w:val="single" w:color="auto" w:sz="8" w:space="0"/>
            </w:tcBorders>
          </w:tcPr>
          <w:p w14:paraId="482F5E84">
            <w:pPr>
              <w:pStyle w:val="201"/>
            </w:pPr>
            <w:r>
              <w:rPr>
                <w:rFonts w:hint="eastAsia"/>
              </w:rPr>
              <w:t>重大风险</w:t>
            </w:r>
          </w:p>
        </w:tc>
        <w:tc>
          <w:tcPr>
            <w:tcW w:w="992" w:type="pct"/>
            <w:tcBorders>
              <w:top w:val="single" w:color="auto" w:sz="4" w:space="0"/>
              <w:bottom w:val="single" w:color="auto" w:sz="8" w:space="0"/>
            </w:tcBorders>
          </w:tcPr>
          <w:p w14:paraId="0699955E">
            <w:pPr>
              <w:pStyle w:val="201"/>
            </w:pPr>
            <w:r>
              <w:rPr>
                <w:rFonts w:hint="eastAsia"/>
              </w:rPr>
              <w:t>较大风险</w:t>
            </w:r>
          </w:p>
        </w:tc>
        <w:tc>
          <w:tcPr>
            <w:tcW w:w="992" w:type="pct"/>
            <w:tcBorders>
              <w:top w:val="single" w:color="auto" w:sz="4" w:space="0"/>
              <w:bottom w:val="single" w:color="auto" w:sz="8" w:space="0"/>
            </w:tcBorders>
          </w:tcPr>
          <w:p w14:paraId="710A2A4B">
            <w:pPr>
              <w:pStyle w:val="201"/>
            </w:pPr>
            <w:r>
              <w:rPr>
                <w:rFonts w:hint="eastAsia"/>
              </w:rPr>
              <w:t>一般风险</w:t>
            </w:r>
          </w:p>
        </w:tc>
        <w:tc>
          <w:tcPr>
            <w:tcW w:w="1030" w:type="pct"/>
            <w:tcBorders>
              <w:top w:val="single" w:color="auto" w:sz="4" w:space="0"/>
              <w:bottom w:val="single" w:color="auto" w:sz="8" w:space="0"/>
            </w:tcBorders>
          </w:tcPr>
          <w:p w14:paraId="53F1D7A1">
            <w:pPr>
              <w:pStyle w:val="201"/>
            </w:pPr>
            <w:r>
              <w:rPr>
                <w:rFonts w:hint="eastAsia"/>
              </w:rPr>
              <w:t>低风险</w:t>
            </w:r>
          </w:p>
        </w:tc>
      </w:tr>
      <w:tr w14:paraId="0A2A68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1" w:type="pct"/>
            <w:tcBorders>
              <w:top w:val="single" w:color="auto" w:sz="8" w:space="0"/>
            </w:tcBorders>
          </w:tcPr>
          <w:p w14:paraId="414F9980">
            <w:pPr>
              <w:pStyle w:val="201"/>
            </w:pPr>
            <w:r>
              <w:rPr>
                <w:rFonts w:hint="eastAsia"/>
              </w:rPr>
              <w:t>重大风险</w:t>
            </w:r>
          </w:p>
        </w:tc>
        <w:tc>
          <w:tcPr>
            <w:tcW w:w="983" w:type="pct"/>
            <w:tcBorders>
              <w:top w:val="single" w:color="auto" w:sz="8" w:space="0"/>
            </w:tcBorders>
          </w:tcPr>
          <w:p w14:paraId="527A5B75">
            <w:pPr>
              <w:pStyle w:val="201"/>
            </w:pPr>
            <w:r>
              <w:rPr>
                <w:rFonts w:hint="eastAsia"/>
              </w:rPr>
              <w:t>主要负责人</w:t>
            </w:r>
          </w:p>
        </w:tc>
        <w:tc>
          <w:tcPr>
            <w:tcW w:w="992" w:type="pct"/>
            <w:tcBorders>
              <w:top w:val="single" w:color="auto" w:sz="8" w:space="0"/>
              <w:right w:val="single" w:color="auto" w:sz="4" w:space="0"/>
            </w:tcBorders>
          </w:tcPr>
          <w:p w14:paraId="065A41C2">
            <w:pPr>
              <w:pStyle w:val="201"/>
            </w:pPr>
            <w:r>
              <w:rPr>
                <w:rFonts w:hint="eastAsia"/>
              </w:rPr>
              <w:t>分管负责人</w:t>
            </w:r>
          </w:p>
        </w:tc>
        <w:tc>
          <w:tcPr>
            <w:tcW w:w="992" w:type="pct"/>
            <w:tcBorders>
              <w:top w:val="single" w:color="auto" w:sz="8" w:space="0"/>
              <w:left w:val="single" w:color="auto" w:sz="4" w:space="0"/>
            </w:tcBorders>
          </w:tcPr>
          <w:p w14:paraId="2A1BF836">
            <w:pPr>
              <w:pStyle w:val="201"/>
            </w:pPr>
            <w:r>
              <w:rPr>
                <w:rFonts w:hint="eastAsia"/>
              </w:rPr>
              <w:t>部门级</w:t>
            </w:r>
          </w:p>
        </w:tc>
        <w:tc>
          <w:tcPr>
            <w:tcW w:w="1030" w:type="pct"/>
            <w:tcBorders>
              <w:top w:val="single" w:color="auto" w:sz="8" w:space="0"/>
            </w:tcBorders>
          </w:tcPr>
          <w:p w14:paraId="2EA2BDD6">
            <w:pPr>
              <w:pStyle w:val="201"/>
            </w:pPr>
            <w:r>
              <w:rPr>
                <w:rFonts w:hint="eastAsia"/>
              </w:rPr>
              <w:t>—</w:t>
            </w:r>
          </w:p>
        </w:tc>
      </w:tr>
      <w:tr w14:paraId="1072F2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1" w:type="pct"/>
          </w:tcPr>
          <w:p w14:paraId="442F65B6">
            <w:pPr>
              <w:pStyle w:val="201"/>
            </w:pPr>
            <w:r>
              <w:rPr>
                <w:rFonts w:hint="eastAsia"/>
              </w:rPr>
              <w:t>较大风险</w:t>
            </w:r>
          </w:p>
        </w:tc>
        <w:tc>
          <w:tcPr>
            <w:tcW w:w="983" w:type="pct"/>
          </w:tcPr>
          <w:p w14:paraId="31D5691B">
            <w:pPr>
              <w:pStyle w:val="201"/>
            </w:pPr>
            <w:r>
              <w:rPr>
                <w:rFonts w:hint="eastAsia"/>
              </w:rPr>
              <w:t>—</w:t>
            </w:r>
          </w:p>
        </w:tc>
        <w:tc>
          <w:tcPr>
            <w:tcW w:w="992" w:type="pct"/>
          </w:tcPr>
          <w:p w14:paraId="1850E747">
            <w:pPr>
              <w:pStyle w:val="201"/>
            </w:pPr>
            <w:r>
              <w:rPr>
                <w:rFonts w:hint="eastAsia"/>
              </w:rPr>
              <w:t>分管负责人</w:t>
            </w:r>
          </w:p>
        </w:tc>
        <w:tc>
          <w:tcPr>
            <w:tcW w:w="992" w:type="pct"/>
          </w:tcPr>
          <w:p w14:paraId="09246453">
            <w:pPr>
              <w:pStyle w:val="201"/>
            </w:pPr>
            <w:r>
              <w:rPr>
                <w:rFonts w:hint="eastAsia"/>
              </w:rPr>
              <w:t>部门级</w:t>
            </w:r>
          </w:p>
        </w:tc>
        <w:tc>
          <w:tcPr>
            <w:tcW w:w="1030" w:type="pct"/>
          </w:tcPr>
          <w:p w14:paraId="74157C01">
            <w:pPr>
              <w:pStyle w:val="201"/>
            </w:pPr>
            <w:r>
              <w:rPr>
                <w:rFonts w:hint="eastAsia"/>
              </w:rPr>
              <w:t>—</w:t>
            </w:r>
          </w:p>
        </w:tc>
      </w:tr>
      <w:tr w14:paraId="7AF444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1" w:type="pct"/>
          </w:tcPr>
          <w:p w14:paraId="4EACFA89">
            <w:pPr>
              <w:pStyle w:val="201"/>
            </w:pPr>
            <w:r>
              <w:rPr>
                <w:rFonts w:hint="eastAsia"/>
              </w:rPr>
              <w:t>一般风险</w:t>
            </w:r>
          </w:p>
        </w:tc>
        <w:tc>
          <w:tcPr>
            <w:tcW w:w="983" w:type="pct"/>
          </w:tcPr>
          <w:p w14:paraId="11114632">
            <w:pPr>
              <w:pStyle w:val="201"/>
            </w:pPr>
            <w:r>
              <w:rPr>
                <w:rFonts w:hint="eastAsia"/>
              </w:rPr>
              <w:t>—</w:t>
            </w:r>
          </w:p>
        </w:tc>
        <w:tc>
          <w:tcPr>
            <w:tcW w:w="992" w:type="pct"/>
          </w:tcPr>
          <w:p w14:paraId="160AE192">
            <w:pPr>
              <w:pStyle w:val="201"/>
            </w:pPr>
            <w:r>
              <w:rPr>
                <w:rFonts w:hint="eastAsia"/>
              </w:rPr>
              <w:t>—</w:t>
            </w:r>
          </w:p>
        </w:tc>
        <w:tc>
          <w:tcPr>
            <w:tcW w:w="992" w:type="pct"/>
          </w:tcPr>
          <w:p w14:paraId="52B5E8D8">
            <w:pPr>
              <w:pStyle w:val="201"/>
            </w:pPr>
            <w:r>
              <w:rPr>
                <w:rFonts w:hint="eastAsia"/>
              </w:rPr>
              <w:t>部门级</w:t>
            </w:r>
          </w:p>
        </w:tc>
        <w:tc>
          <w:tcPr>
            <w:tcW w:w="1030" w:type="pct"/>
          </w:tcPr>
          <w:p w14:paraId="4DADE426">
            <w:pPr>
              <w:pStyle w:val="201"/>
            </w:pPr>
            <w:r>
              <w:rPr>
                <w:rFonts w:hint="eastAsia"/>
              </w:rPr>
              <w:t>岗位级</w:t>
            </w:r>
          </w:p>
        </w:tc>
      </w:tr>
      <w:tr w14:paraId="2F30F2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1" w:type="pct"/>
            <w:tcBorders>
              <w:bottom w:val="single" w:color="auto" w:sz="8" w:space="0"/>
            </w:tcBorders>
          </w:tcPr>
          <w:p w14:paraId="033426E6">
            <w:pPr>
              <w:pStyle w:val="201"/>
            </w:pPr>
            <w:r>
              <w:rPr>
                <w:rFonts w:hint="eastAsia"/>
              </w:rPr>
              <w:t>低风险</w:t>
            </w:r>
          </w:p>
        </w:tc>
        <w:tc>
          <w:tcPr>
            <w:tcW w:w="983" w:type="pct"/>
            <w:tcBorders>
              <w:bottom w:val="single" w:color="auto" w:sz="8" w:space="0"/>
            </w:tcBorders>
          </w:tcPr>
          <w:p w14:paraId="1BBB0C36">
            <w:pPr>
              <w:pStyle w:val="201"/>
            </w:pPr>
            <w:r>
              <w:rPr>
                <w:rFonts w:hint="eastAsia"/>
              </w:rPr>
              <w:t>—</w:t>
            </w:r>
          </w:p>
        </w:tc>
        <w:tc>
          <w:tcPr>
            <w:tcW w:w="992" w:type="pct"/>
            <w:tcBorders>
              <w:bottom w:val="single" w:color="auto" w:sz="8" w:space="0"/>
            </w:tcBorders>
          </w:tcPr>
          <w:p w14:paraId="4AD99F49">
            <w:pPr>
              <w:pStyle w:val="201"/>
            </w:pPr>
            <w:r>
              <w:rPr>
                <w:rFonts w:hint="eastAsia"/>
              </w:rPr>
              <w:t>—</w:t>
            </w:r>
          </w:p>
        </w:tc>
        <w:tc>
          <w:tcPr>
            <w:tcW w:w="992" w:type="pct"/>
            <w:tcBorders>
              <w:bottom w:val="single" w:color="auto" w:sz="8" w:space="0"/>
            </w:tcBorders>
          </w:tcPr>
          <w:p w14:paraId="5424B2EE">
            <w:pPr>
              <w:pStyle w:val="201"/>
            </w:pPr>
            <w:r>
              <w:rPr>
                <w:rFonts w:hint="eastAsia"/>
              </w:rPr>
              <w:t>—</w:t>
            </w:r>
          </w:p>
        </w:tc>
        <w:tc>
          <w:tcPr>
            <w:tcW w:w="1030" w:type="pct"/>
            <w:tcBorders>
              <w:bottom w:val="single" w:color="auto" w:sz="8" w:space="0"/>
            </w:tcBorders>
          </w:tcPr>
          <w:p w14:paraId="004876D4">
            <w:pPr>
              <w:pStyle w:val="201"/>
            </w:pPr>
            <w:r>
              <w:rPr>
                <w:rFonts w:hint="eastAsia"/>
              </w:rPr>
              <w:t>岗位级</w:t>
            </w:r>
          </w:p>
        </w:tc>
      </w:tr>
      <w:tr w14:paraId="7F1249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5"/>
            <w:tcBorders>
              <w:top w:val="single" w:color="auto" w:sz="8" w:space="0"/>
            </w:tcBorders>
          </w:tcPr>
          <w:p w14:paraId="06DB692D">
            <w:pPr>
              <w:pStyle w:val="83"/>
            </w:pPr>
            <w:r>
              <w:rPr>
                <w:rFonts w:hint="eastAsia"/>
              </w:rPr>
              <w:t>上一级负责管控的风险，下一级必须同时负责管控，并逐级落实具体措施。</w:t>
            </w:r>
          </w:p>
        </w:tc>
      </w:tr>
    </w:tbl>
    <w:p w14:paraId="55A5D071">
      <w:pPr>
        <w:pStyle w:val="96"/>
      </w:pPr>
      <w:r>
        <w:rPr>
          <w:rFonts w:hint="eastAsia"/>
        </w:rPr>
        <w:t>城镇燃气经营企业应实施动态安全风险管控，存在下列情形之一的宜升级管控：</w:t>
      </w:r>
    </w:p>
    <w:p w14:paraId="48792FFB">
      <w:pPr>
        <w:pStyle w:val="123"/>
      </w:pPr>
      <w:r>
        <w:rPr>
          <w:rFonts w:hint="eastAsia"/>
        </w:rPr>
        <w:t>存在隐患的场所、部位、作业；</w:t>
      </w:r>
    </w:p>
    <w:p w14:paraId="2020665F">
      <w:pPr>
        <w:pStyle w:val="123"/>
      </w:pPr>
      <w:r>
        <w:rPr>
          <w:rFonts w:hint="eastAsia"/>
        </w:rPr>
        <w:t>涉及到变更和检维修作业；</w:t>
      </w:r>
    </w:p>
    <w:p w14:paraId="240CB3A1">
      <w:pPr>
        <w:pStyle w:val="123"/>
      </w:pPr>
      <w:r>
        <w:t>交叉作业或多专业协同作业；</w:t>
      </w:r>
    </w:p>
    <w:p w14:paraId="2A866E73">
      <w:pPr>
        <w:pStyle w:val="123"/>
      </w:pPr>
      <w:r>
        <w:t>年内因生产安全问题受到有关燃气安全监管部门行政处罚的；</w:t>
      </w:r>
    </w:p>
    <w:p w14:paraId="753E75BE">
      <w:pPr>
        <w:pStyle w:val="123"/>
      </w:pPr>
      <w:r>
        <w:t>随着燃气设施运行以及工艺的变化，风险等级急剧增加的；</w:t>
      </w:r>
    </w:p>
    <w:p w14:paraId="7366A899">
      <w:pPr>
        <w:pStyle w:val="123"/>
      </w:pPr>
      <w:r>
        <w:t>受天气、环境等自然条件影响，需要提级管理的；</w:t>
      </w:r>
    </w:p>
    <w:p w14:paraId="054CD2C3">
      <w:pPr>
        <w:pStyle w:val="123"/>
      </w:pPr>
      <w:r>
        <w:t>其他需要实行提级管控情形的。</w:t>
      </w:r>
    </w:p>
    <w:p w14:paraId="6A6918E2">
      <w:pPr>
        <w:pStyle w:val="96"/>
      </w:pPr>
      <w:r>
        <w:t>城镇燃气经营企业重大风险应由主要负责人组织制定专项管控方案。重大风险专控方案应至少包括以下内容：</w:t>
      </w:r>
    </w:p>
    <w:p w14:paraId="79EF4F2D">
      <w:pPr>
        <w:pStyle w:val="123"/>
      </w:pPr>
      <w:r>
        <w:t>重大风险描述；</w:t>
      </w:r>
    </w:p>
    <w:p w14:paraId="09522E44">
      <w:pPr>
        <w:pStyle w:val="123"/>
      </w:pPr>
      <w:r>
        <w:t>控制风险的管理制度、管理程序、管理标准、作业指导书、操作规程等制度措施；</w:t>
      </w:r>
    </w:p>
    <w:p w14:paraId="386B4C7D">
      <w:pPr>
        <w:pStyle w:val="123"/>
      </w:pPr>
      <w:r>
        <w:t>降低风险的工艺、技术、设备、材料等，以及监测预警、自动化控制，紧急避险、自救互助等信息化、自动化措施；</w:t>
      </w:r>
    </w:p>
    <w:p w14:paraId="53D5F8AD">
      <w:pPr>
        <w:pStyle w:val="123"/>
      </w:pPr>
      <w:r>
        <w:t>关键装置、重点部位的责任人或者责任部门；</w:t>
      </w:r>
    </w:p>
    <w:p w14:paraId="6231E8C3">
      <w:pPr>
        <w:pStyle w:val="123"/>
      </w:pPr>
      <w:r>
        <w:t>明确的工作场所和岗位安全风险告知牌及警示标志的设置；</w:t>
      </w:r>
    </w:p>
    <w:p w14:paraId="51979B73">
      <w:pPr>
        <w:pStyle w:val="123"/>
      </w:pPr>
      <w:r>
        <w:t>针对性应急预案、应急救援组织及应急救援人员配备，必要的防护装备及应急救援器材、设备、物资配备，应急预案演练计划；</w:t>
      </w:r>
    </w:p>
    <w:p w14:paraId="43DF7C60">
      <w:pPr>
        <w:pStyle w:val="123"/>
      </w:pPr>
      <w:r>
        <w:t>以岗位安全风险及管控措施、应急处置方法为重点的员工风险教育和技能培训内容与要求。</w:t>
      </w:r>
    </w:p>
    <w:p w14:paraId="69195D0A">
      <w:pPr>
        <w:pStyle w:val="96"/>
      </w:pPr>
      <w:r>
        <w:t>城镇燃气经营企业应按照危险源辨识单元编制安全风险辨识和管控清单并依据管控专业和层级汇总成册。</w:t>
      </w:r>
    </w:p>
    <w:p w14:paraId="73281AD3">
      <w:pPr>
        <w:pStyle w:val="96"/>
      </w:pPr>
      <w:r>
        <w:t>城镇燃气经营企业应绘制安全风险四色分布图（图例参见附录F）和安全风险比较图。安全风险图的绘制宜按照以下步骤进行：</w:t>
      </w:r>
    </w:p>
    <w:p w14:paraId="181B22B6">
      <w:pPr>
        <w:pStyle w:val="123"/>
      </w:pPr>
      <w:r>
        <w:t>将全部危险源辨识单元网格化；</w:t>
      </w:r>
    </w:p>
    <w:p w14:paraId="6253E53A">
      <w:pPr>
        <w:pStyle w:val="123"/>
      </w:pPr>
      <w:r>
        <w:t>在总平面布置图和建筑平面图上以各网格全部风险中最高风险等级对应的代表颜色标示网格的颜色，绘制安全风险四色分布图；</w:t>
      </w:r>
    </w:p>
    <w:p w14:paraId="729FA6BD">
      <w:pPr>
        <w:pStyle w:val="123"/>
      </w:pPr>
      <w:r>
        <w:t>针对危险源辨识单元绘制其不同安全风险类型的安全风险比较图。</w:t>
      </w:r>
    </w:p>
    <w:p w14:paraId="037CFC07">
      <w:pPr>
        <w:pStyle w:val="96"/>
      </w:pPr>
      <w:r>
        <w:t>城镇燃气经营企业应利用信息化技术推动本单位风险分级管控和隐患排查治理信息化建设，将安全风险清单、安全风险图等资料电子化，建立并及时更新安全风险数据库。</w:t>
      </w:r>
    </w:p>
    <w:p w14:paraId="2A6A5EAB">
      <w:pPr>
        <w:pStyle w:val="96"/>
      </w:pPr>
      <w:r>
        <w:t>城镇燃气经营企业应按以下要求开展安全风险公告警示：</w:t>
      </w:r>
    </w:p>
    <w:p w14:paraId="4C32E6FA">
      <w:pPr>
        <w:pStyle w:val="123"/>
        <w:rPr>
          <w:color w:val="auto"/>
        </w:rPr>
      </w:pPr>
      <w:r>
        <w:t>城镇燃气经营企业应对重大风险和较大风险在醒目位置和重点区域分别设置安全风险公告栏（样例参见附录G）和制作岗位安全风险告知卡（样例参见附录H），标明主要风险类型及等级、主要危险源、触发事件、管控措施、应急措施及安全警示标识</w:t>
      </w:r>
      <w:r>
        <w:rPr>
          <w:color w:val="auto"/>
        </w:rPr>
        <w:t>等内容</w:t>
      </w:r>
      <w:r>
        <w:rPr>
          <w:rFonts w:hint="eastAsia"/>
          <w:color w:val="auto"/>
        </w:rPr>
        <w:t>；</w:t>
      </w:r>
    </w:p>
    <w:p w14:paraId="0CBE7021">
      <w:pPr>
        <w:pStyle w:val="123"/>
        <w:rPr>
          <w:color w:val="auto"/>
        </w:rPr>
      </w:pPr>
      <w:r>
        <w:rPr>
          <w:color w:val="auto"/>
        </w:rPr>
        <w:t>城镇燃气经营企业应在生产装置区入口处悬挂安全风险四色分布图</w:t>
      </w:r>
      <w:r>
        <w:rPr>
          <w:rFonts w:hint="eastAsia"/>
          <w:color w:val="auto"/>
        </w:rPr>
        <w:t>；</w:t>
      </w:r>
    </w:p>
    <w:p w14:paraId="611D6663">
      <w:pPr>
        <w:pStyle w:val="123"/>
      </w:pPr>
      <w:r>
        <w:rPr>
          <w:color w:val="auto"/>
        </w:rPr>
        <w:t>城镇燃气经营企业应对存在重大风险的工作场所和岗位设置明显安全警示标</w:t>
      </w:r>
      <w:r>
        <w:t>识</w:t>
      </w:r>
      <w:r>
        <w:rPr>
          <w:rFonts w:hint="eastAsia"/>
          <w:color w:val="000000" w:themeColor="text1"/>
          <w:lang w:eastAsia="zh-CN"/>
        </w:rPr>
        <w:t>；</w:t>
      </w:r>
    </w:p>
    <w:p w14:paraId="4E157828">
      <w:pPr>
        <w:pStyle w:val="123"/>
      </w:pPr>
      <w:r>
        <w:t>城镇燃气经营企业应以岗位安全风险及管控措施、应急处置方法为重点，强化员工风险教育和技能培训。对全体员工、承包商等确保其掌握所在岗位的安全风险基本情况、管控责任、应急措施，对实习、培训、短期到访人员进行例行告知。</w:t>
      </w:r>
    </w:p>
    <w:p w14:paraId="233BC423">
      <w:pPr>
        <w:pStyle w:val="71"/>
        <w:spacing w:before="316" w:after="316"/>
      </w:pPr>
      <w:bookmarkStart w:id="87" w:name="_Toc32136"/>
      <w:bookmarkStart w:id="88" w:name="_Toc31511"/>
      <w:r>
        <w:t>隐患排查治理</w:t>
      </w:r>
      <w:bookmarkEnd w:id="87"/>
      <w:bookmarkEnd w:id="88"/>
    </w:p>
    <w:p w14:paraId="7B3B78CF">
      <w:pPr>
        <w:pStyle w:val="82"/>
        <w:spacing w:before="158" w:after="158"/>
      </w:pPr>
      <w:bookmarkStart w:id="89" w:name="_Toc17504"/>
      <w:bookmarkStart w:id="90" w:name="_Toc29295"/>
      <w:r>
        <w:t>隐患排查治理要求</w:t>
      </w:r>
      <w:bookmarkEnd w:id="89"/>
      <w:bookmarkEnd w:id="90"/>
    </w:p>
    <w:p w14:paraId="0AB95511">
      <w:pPr>
        <w:pStyle w:val="96"/>
      </w:pPr>
      <w:r>
        <w:t>城镇燃气经营企业应将《安全风险辨识和管控清单》作为隐患排查的基础和依据，排查风险管控过程中出现的缺失、漏洞和失效环节。</w:t>
      </w:r>
    </w:p>
    <w:p w14:paraId="5E18AF39">
      <w:pPr>
        <w:pStyle w:val="96"/>
      </w:pPr>
      <w:r>
        <w:t>隐患排查治理应实行闭环管理和台账管理</w:t>
      </w:r>
      <w:r>
        <w:rPr>
          <w:rFonts w:hint="eastAsia"/>
        </w:rPr>
        <w:t>。</w:t>
      </w:r>
    </w:p>
    <w:p w14:paraId="3D7DE241">
      <w:pPr>
        <w:pStyle w:val="123"/>
      </w:pPr>
      <w:r>
        <w:t>闭环管理包括隐患排查计划、排查、治理、验收及评估、核销工作</w:t>
      </w:r>
      <w:r>
        <w:rPr>
          <w:rFonts w:hint="eastAsia"/>
          <w:color w:val="000000" w:themeColor="text1"/>
        </w:rPr>
        <w:t>。</w:t>
      </w:r>
    </w:p>
    <w:p w14:paraId="4F9A0720">
      <w:pPr>
        <w:pStyle w:val="123"/>
      </w:pPr>
      <w:r>
        <w:t>隐患排查治理台账主要包括隐患排查计划、隐患和问题清单、问题隐患整改工作清单、问题隐患复查验收清单及隐患排查治理汇总表。</w:t>
      </w:r>
    </w:p>
    <w:p w14:paraId="39BBC6F0">
      <w:pPr>
        <w:pStyle w:val="82"/>
        <w:spacing w:before="158" w:after="158"/>
      </w:pPr>
      <w:bookmarkStart w:id="91" w:name="_Toc27258"/>
      <w:bookmarkStart w:id="92" w:name="_Toc8438"/>
      <w:r>
        <w:t>隐患排查计划</w:t>
      </w:r>
      <w:bookmarkEnd w:id="91"/>
      <w:bookmarkEnd w:id="92"/>
    </w:p>
    <w:p w14:paraId="14E2F440">
      <w:pPr>
        <w:pStyle w:val="96"/>
      </w:pPr>
      <w:r>
        <w:t>城镇燃气经营企业应制定隐患排查计划，明确隐患排查的事项、内容、层级、责任人和频次。应对存在重大风险和较大风险的场所、部位、作业和改进的风险控制措施重点排查。隐患排查形式包括日常排查、综合性排查、专业性排查、季节性排查、重点时段及节假日前排查、复工复产前排查、事故类比排查和外聘专家诊断式排查等。</w:t>
      </w:r>
    </w:p>
    <w:p w14:paraId="5E9A26D1">
      <w:pPr>
        <w:pStyle w:val="96"/>
      </w:pPr>
      <w:r>
        <w:t>城镇燃气经营企业应根据排查类型、管控层级，在《安全风险辨识和管控清单》中选择具有针对性的具体排查对象和内容，形成《隐患排查清单》（参见附录I）。</w:t>
      </w:r>
    </w:p>
    <w:p w14:paraId="4583B603">
      <w:pPr>
        <w:pStyle w:val="96"/>
      </w:pPr>
      <w:r>
        <w:t>城镇燃气经营企业宜按照以下要求确定隐患排查频次：</w:t>
      </w:r>
    </w:p>
    <w:p w14:paraId="38D32DC7">
      <w:pPr>
        <w:pStyle w:val="123"/>
      </w:pPr>
      <w:r>
        <w:t>装置操作人员现场巡检间隔不得大于2小时；</w:t>
      </w:r>
    </w:p>
    <w:p w14:paraId="2932E098">
      <w:pPr>
        <w:pStyle w:val="123"/>
      </w:pPr>
      <w:r>
        <w:t>装置直接管理人员（工艺、设备技术人员）、电气、仪表人员每天至少两次对装置现场进行相关专业检查；</w:t>
      </w:r>
    </w:p>
    <w:p w14:paraId="41CA6361">
      <w:pPr>
        <w:pStyle w:val="123"/>
      </w:pPr>
      <w:r>
        <w:t>班组（岗位）至少每周组织一次安全风险隐患排查；基层单位（站）应结合岗位责任制检查，至少每月组织一次安全风险隐患排查；</w:t>
      </w:r>
    </w:p>
    <w:p w14:paraId="39981E3C">
      <w:pPr>
        <w:pStyle w:val="123"/>
      </w:pPr>
      <w:r>
        <w:t>企业应根据季节性特征及本单位的生产实际，每季度开展一次有针对性的季节性安全风险隐患排查；重大活动、重点时段及节假日前必须进行安全风险隐患排查；</w:t>
      </w:r>
    </w:p>
    <w:p w14:paraId="1C282D28">
      <w:pPr>
        <w:pStyle w:val="123"/>
      </w:pPr>
      <w:r>
        <w:t>企业综合性排查和专业</w:t>
      </w:r>
      <w:r>
        <w:rPr>
          <w:rFonts w:hint="eastAsia"/>
        </w:rPr>
        <w:t>性</w:t>
      </w:r>
      <w:r>
        <w:t>排查至少每半年组织一次，基层单位至少每季度组织一次，两者可结合进行；</w:t>
      </w:r>
    </w:p>
    <w:p w14:paraId="69B47BBE">
      <w:pPr>
        <w:pStyle w:val="123"/>
      </w:pPr>
      <w:r>
        <w:t>当同类企业发生安全事故时，应举一反三，及时进行事故类比安全风险隐患专项排查。</w:t>
      </w:r>
    </w:p>
    <w:p w14:paraId="5AC95B89">
      <w:pPr>
        <w:pStyle w:val="96"/>
      </w:pPr>
      <w:r>
        <w:t>当发生以下情形之一时，应根据情况及时组织进行相关专业性排查：</w:t>
      </w:r>
    </w:p>
    <w:p w14:paraId="1F55D0DE">
      <w:pPr>
        <w:pStyle w:val="123"/>
      </w:pPr>
      <w:r>
        <w:t>公布实施有关新法律法规、标准规范或原有适用法律法规、标准规范重新修订的；</w:t>
      </w:r>
    </w:p>
    <w:p w14:paraId="6F2A8CD5">
      <w:pPr>
        <w:pStyle w:val="123"/>
      </w:pPr>
      <w:r>
        <w:t>组织机构和人员发生重大调整的；</w:t>
      </w:r>
    </w:p>
    <w:p w14:paraId="1703414C">
      <w:pPr>
        <w:pStyle w:val="123"/>
      </w:pPr>
      <w:r>
        <w:t>装置工艺、设备、电气、仪表、公用工程或操作参数发生重大改变的；</w:t>
      </w:r>
    </w:p>
    <w:p w14:paraId="23FC75CC">
      <w:pPr>
        <w:pStyle w:val="123"/>
      </w:pPr>
      <w:r>
        <w:t>外部安全生产环境发生重大变化的；</w:t>
      </w:r>
    </w:p>
    <w:p w14:paraId="1BDF11E2">
      <w:pPr>
        <w:pStyle w:val="123"/>
      </w:pPr>
      <w:r>
        <w:t>发生安全事故或对安全事故、事件有新认识的；</w:t>
      </w:r>
    </w:p>
    <w:p w14:paraId="4677343C">
      <w:pPr>
        <w:pStyle w:val="123"/>
      </w:pPr>
      <w:r>
        <w:t>气候条件发生大的变化或预报可能发生重大自然灾害前。</w:t>
      </w:r>
    </w:p>
    <w:p w14:paraId="64C07685">
      <w:pPr>
        <w:pStyle w:val="82"/>
        <w:spacing w:before="158" w:after="158"/>
      </w:pPr>
      <w:bookmarkStart w:id="93" w:name="_Toc30338"/>
      <w:bookmarkStart w:id="94" w:name="_Toc11934"/>
      <w:r>
        <w:t>隐患排查实施</w:t>
      </w:r>
      <w:bookmarkEnd w:id="93"/>
      <w:bookmarkEnd w:id="94"/>
    </w:p>
    <w:p w14:paraId="1EE99991">
      <w:pPr>
        <w:pStyle w:val="96"/>
      </w:pPr>
      <w:r>
        <w:t>城镇燃气经营企业应对照《隐患排查清单》进行隐患排查，并确定隐患的等级。涉及下列情形之一的应判定为重大隐患：</w:t>
      </w:r>
    </w:p>
    <w:p w14:paraId="6EFD0144">
      <w:pPr>
        <w:pStyle w:val="123"/>
      </w:pPr>
      <w:r>
        <w:t>存在《城镇燃气经营安全重大隐患判定标准》规定情形之一的；</w:t>
      </w:r>
    </w:p>
    <w:p w14:paraId="35537415">
      <w:pPr>
        <w:pStyle w:val="123"/>
      </w:pPr>
      <w:r>
        <w:t>存在按照GB 35181《重大火灾隐患判定方法》判定的重大火灾隐患情形之一的；</w:t>
      </w:r>
    </w:p>
    <w:p w14:paraId="0B85CBF7">
      <w:pPr>
        <w:pStyle w:val="123"/>
      </w:pPr>
      <w:r>
        <w:t>存在《特种设备安全检查监督办法》规定的严重事故隐患情形之一的；</w:t>
      </w:r>
    </w:p>
    <w:p w14:paraId="5578E47B">
      <w:pPr>
        <w:pStyle w:val="123"/>
      </w:pPr>
      <w:r>
        <w:t>符合企业规定重大隐患判定标准情形的。</w:t>
      </w:r>
    </w:p>
    <w:p w14:paraId="1D8BD61E">
      <w:pPr>
        <w:pStyle w:val="96"/>
      </w:pPr>
      <w:r>
        <w:t>城镇燃气经营企业应将排查出的隐患填入《隐患和问题清单》（参见附录I），并留隐患照片。</w:t>
      </w:r>
    </w:p>
    <w:p w14:paraId="2568187C">
      <w:pPr>
        <w:pStyle w:val="96"/>
      </w:pPr>
      <w:r>
        <w:t>城镇燃气经营企业必须将排查出的隐患进行告知，告知内容包括隐患名称、位置、不符合状况、等级、治理措施、期限、临时措施及整改前注意事项等。</w:t>
      </w:r>
    </w:p>
    <w:p w14:paraId="092D51BB">
      <w:pPr>
        <w:pStyle w:val="96"/>
      </w:pPr>
      <w:r>
        <w:t>对于重大隐患，应立即向主要负责人和城乡建设主管部门报告。城镇燃气经营企业重大隐患的报送内容包括隐患的现状及其产生原因、隐患的危害程度和整改难易程度分析、隐患的治理方案。</w:t>
      </w:r>
    </w:p>
    <w:p w14:paraId="0A9B7736">
      <w:pPr>
        <w:pStyle w:val="82"/>
        <w:spacing w:before="158" w:after="158"/>
      </w:pPr>
      <w:bookmarkStart w:id="95" w:name="_Toc14110"/>
      <w:bookmarkStart w:id="96" w:name="_Toc2775"/>
      <w:r>
        <w:t>隐患治理</w:t>
      </w:r>
      <w:bookmarkEnd w:id="95"/>
      <w:bookmarkEnd w:id="96"/>
    </w:p>
    <w:p w14:paraId="3769FD28">
      <w:pPr>
        <w:pStyle w:val="97"/>
        <w:spacing w:before="158" w:after="158"/>
      </w:pPr>
      <w:r>
        <w:t>隐患治理要求</w:t>
      </w:r>
    </w:p>
    <w:p w14:paraId="7A717B51">
      <w:pPr>
        <w:pStyle w:val="138"/>
      </w:pPr>
      <w:r>
        <w:t>城镇燃气经营企业的隐患治理应实行分级治理，分类实施。主要包括岗位纠正、班组治理、部门治理、公司治理等。</w:t>
      </w:r>
    </w:p>
    <w:p w14:paraId="5C4D069F">
      <w:pPr>
        <w:pStyle w:val="138"/>
      </w:pPr>
      <w:r>
        <w:t>隐患治理应做到方法科学、资金到位、治理及时、责任到人、限期完成。能立即整改的隐患应立即整改，无法立即整改的隐患，治理前应研究制定防范措施，落实监控责任。城镇燃气经营企业应将整改措施等内容填入《问题隐患整改工作清单》（参见附录I）。</w:t>
      </w:r>
    </w:p>
    <w:p w14:paraId="242CE75C">
      <w:pPr>
        <w:pStyle w:val="138"/>
      </w:pPr>
      <w:r>
        <w:t>对于社会举报和反馈的燃气系统隐患和事故，处置人员应及时向企业有关部门上报。各级管理部门接到隐患报告后，应按照职责分工立即组织核实并予以查处；发现所报告隐患应由其他有关部门处理的，应立即移送有关部门并记录备查。</w:t>
      </w:r>
    </w:p>
    <w:p w14:paraId="008499D6">
      <w:pPr>
        <w:pStyle w:val="138"/>
      </w:pPr>
      <w:r>
        <w:t>城镇燃气经营企业在隐患整改过程中，应采取相应的监控防范措施；隐患排除前或排除过程中无法保证安全的，应从危险区域内撤出作业人员，疏散可能危及的人员，设置警戒标志，暂时停产停业或停止使用相关设备、设施。</w:t>
      </w:r>
    </w:p>
    <w:p w14:paraId="6C46C44D">
      <w:pPr>
        <w:pStyle w:val="97"/>
        <w:spacing w:before="158" w:after="158"/>
      </w:pPr>
      <w:r>
        <w:t>隐患治理实施</w:t>
      </w:r>
    </w:p>
    <w:p w14:paraId="01243942">
      <w:pPr>
        <w:pStyle w:val="138"/>
      </w:pPr>
      <w:r>
        <w:t>对于一般隐患，根据隐患治理的分级，由隐患业务整改归属部门负责人或者有关人员负责组织整改，整改情况安排专人进行确认。</w:t>
      </w:r>
    </w:p>
    <w:p w14:paraId="48A40493">
      <w:pPr>
        <w:pStyle w:val="138"/>
      </w:pPr>
      <w:r>
        <w:t>对于重大隐患，由城镇燃气经营企业主要负责人组织治理。重大隐患的治理宜按照以下步骤进行：</w:t>
      </w:r>
    </w:p>
    <w:p w14:paraId="0B60CC9D">
      <w:pPr>
        <w:pStyle w:val="63"/>
        <w:numPr>
          <w:ilvl w:val="0"/>
          <w:numId w:val="32"/>
        </w:numPr>
      </w:pPr>
      <w:r>
        <w:t>重大隐患评估、治理</w:t>
      </w:r>
    </w:p>
    <w:p w14:paraId="16BE1AC9">
      <w:pPr>
        <w:pStyle w:val="51"/>
        <w:ind w:firstLine="420"/>
      </w:pPr>
      <w:r>
        <w:t>经判定或评估属于重大隐患的，主要负责人应当及时组织评估，并编制事故隐患报告。评估报告应当包括影响范围、风险程度和对隐患的监控措施、治理方式、治理期限的建议等内容。</w:t>
      </w:r>
    </w:p>
    <w:p w14:paraId="31BA794D">
      <w:pPr>
        <w:pStyle w:val="51"/>
        <w:ind w:firstLine="420"/>
      </w:pPr>
      <w:r>
        <w:t>城镇燃气经营企业主要负责人应根据评估报告组织制定并实施隐患治理方案。隐患治理方案应当包括下列主要内容：</w:t>
      </w:r>
    </w:p>
    <w:p w14:paraId="3F20363E">
      <w:pPr>
        <w:pStyle w:val="123"/>
      </w:pPr>
      <w:r>
        <w:t>治理的目标和任务；</w:t>
      </w:r>
    </w:p>
    <w:p w14:paraId="417E1FC8">
      <w:pPr>
        <w:pStyle w:val="123"/>
      </w:pPr>
      <w:r>
        <w:t>采取的方法和措施；</w:t>
      </w:r>
    </w:p>
    <w:p w14:paraId="21F9936D">
      <w:pPr>
        <w:pStyle w:val="123"/>
      </w:pPr>
      <w:r>
        <w:t>经费和物资的落实；</w:t>
      </w:r>
    </w:p>
    <w:p w14:paraId="674346EB">
      <w:pPr>
        <w:pStyle w:val="123"/>
      </w:pPr>
      <w:r>
        <w:t>负责治理的机构和人员；</w:t>
      </w:r>
    </w:p>
    <w:p w14:paraId="723887EF">
      <w:pPr>
        <w:pStyle w:val="123"/>
      </w:pPr>
      <w:r>
        <w:t>治理的时限和要求；</w:t>
      </w:r>
    </w:p>
    <w:p w14:paraId="6105854C">
      <w:pPr>
        <w:pStyle w:val="123"/>
      </w:pPr>
      <w:r>
        <w:t>防止整改期间发生事故的安全措施。</w:t>
      </w:r>
    </w:p>
    <w:p w14:paraId="4A261487">
      <w:pPr>
        <w:pStyle w:val="63"/>
      </w:pPr>
      <w:r>
        <w:t>隐患上报</w:t>
      </w:r>
    </w:p>
    <w:p w14:paraId="6EABCD36">
      <w:pPr>
        <w:pStyle w:val="51"/>
        <w:ind w:firstLine="420"/>
      </w:pPr>
      <w:r>
        <w:t>各城镇燃气经营企业基层部门发现重大隐患应及时上报。应自发现重大隐患之日起10日内，将重大隐患评估报告和重大隐患治理方案书面报企业安全管理部门。</w:t>
      </w:r>
    </w:p>
    <w:p w14:paraId="531D7838">
      <w:pPr>
        <w:pStyle w:val="51"/>
        <w:ind w:firstLine="420"/>
      </w:pPr>
      <w:r>
        <w:t>企业应当自发现重大隐患之日起15日内，将重大隐患评估报告和重大隐患治理方案报当地区、县（市）城乡建设主管部及其他有关主管部门。</w:t>
      </w:r>
    </w:p>
    <w:p w14:paraId="5AB3BE78">
      <w:pPr>
        <w:pStyle w:val="82"/>
        <w:spacing w:before="158" w:after="158"/>
      </w:pPr>
      <w:bookmarkStart w:id="97" w:name="_Toc20904"/>
      <w:bookmarkStart w:id="98" w:name="_Toc19005"/>
      <w:r>
        <w:t>验收评估</w:t>
      </w:r>
      <w:bookmarkEnd w:id="97"/>
      <w:bookmarkEnd w:id="98"/>
    </w:p>
    <w:p w14:paraId="211AF56E">
      <w:pPr>
        <w:pStyle w:val="96"/>
      </w:pPr>
      <w:r>
        <w:t>隐患治理完成后，城镇燃气经营企业应按照隐患级别组织相关人员及时对已完成治理的隐患进行确认、评估、验收，实现闭环管理，并填写《问题隐患复查验收清单》（参见附录I）。</w:t>
      </w:r>
    </w:p>
    <w:p w14:paraId="1F674670">
      <w:pPr>
        <w:pStyle w:val="96"/>
      </w:pPr>
      <w:r>
        <w:t>重大隐患治理工作结束后，城镇燃气经营企业应当组织对治理情况进行复查评估。对政府督办的重大隐患，按有关规定执行。</w:t>
      </w:r>
    </w:p>
    <w:p w14:paraId="197BF766">
      <w:pPr>
        <w:pStyle w:val="96"/>
      </w:pPr>
      <w:r>
        <w:t>城镇燃气经营企业应利用信息化技术推动隐患排查治理信息化建设，建立自查、自改、自报、验收事故隐患的信息管理系统。</w:t>
      </w:r>
    </w:p>
    <w:p w14:paraId="785512A1">
      <w:pPr>
        <w:pStyle w:val="96"/>
      </w:pPr>
      <w:r>
        <w:t>城镇燃气经营企业应在隐患排查治理工作结束后填写《隐患排查治理汇总表》（参见附录I），并将隐患排查治理过程资料归档，归档资料包括隐患排查计划、隐患排查清单、隐患和问题清单、问题隐患整改工作清单、问题隐患复查验收清单和隐患排查治理汇总表等。重大隐患排査、评估记录、隐患整改复査验收记录等，应单独建档管理。</w:t>
      </w:r>
    </w:p>
    <w:p w14:paraId="76152EDA">
      <w:pPr>
        <w:pStyle w:val="71"/>
        <w:spacing w:before="316" w:after="316"/>
      </w:pPr>
      <w:bookmarkStart w:id="99" w:name="_Toc26054"/>
      <w:bookmarkStart w:id="100" w:name="_Toc19611"/>
      <w:r>
        <w:rPr>
          <w:rFonts w:hint="eastAsia"/>
        </w:rPr>
        <w:t>持续改进</w:t>
      </w:r>
      <w:bookmarkEnd w:id="99"/>
      <w:bookmarkEnd w:id="100"/>
    </w:p>
    <w:p w14:paraId="30F68203">
      <w:pPr>
        <w:pStyle w:val="82"/>
        <w:spacing w:before="158" w:after="158"/>
      </w:pPr>
      <w:bookmarkStart w:id="101" w:name="_Toc22828"/>
      <w:bookmarkStart w:id="102" w:name="_Toc2045"/>
      <w:r>
        <w:t>管理评审</w:t>
      </w:r>
      <w:bookmarkEnd w:id="101"/>
      <w:bookmarkEnd w:id="102"/>
    </w:p>
    <w:p w14:paraId="7AFE4B21">
      <w:pPr>
        <w:pStyle w:val="96"/>
      </w:pPr>
      <w:r>
        <w:t>城镇燃气经营企业应定期开展系统性管理评审，持续监控安全风险管控、隐患排查治理效果。</w:t>
      </w:r>
    </w:p>
    <w:p w14:paraId="1C892EAB">
      <w:pPr>
        <w:pStyle w:val="96"/>
      </w:pPr>
      <w:r>
        <w:t>管理评审由负责双重预防机制建设工作的部门组织实施，时间间隔不超过12个月，并编制评审报告。评审报告应包括以下内容：</w:t>
      </w:r>
    </w:p>
    <w:p w14:paraId="536545D0">
      <w:pPr>
        <w:pStyle w:val="123"/>
      </w:pPr>
      <w:r>
        <w:t>目标；</w:t>
      </w:r>
    </w:p>
    <w:p w14:paraId="675615AA">
      <w:pPr>
        <w:pStyle w:val="123"/>
      </w:pPr>
      <w:r>
        <w:t>制度化管理；</w:t>
      </w:r>
    </w:p>
    <w:p w14:paraId="0C15A660">
      <w:pPr>
        <w:pStyle w:val="123"/>
      </w:pPr>
      <w:r>
        <w:t>教育培训；</w:t>
      </w:r>
    </w:p>
    <w:p w14:paraId="47B48C09">
      <w:pPr>
        <w:pStyle w:val="123"/>
      </w:pPr>
      <w:r>
        <w:t>安全风险管控；</w:t>
      </w:r>
    </w:p>
    <w:p w14:paraId="179F64F7">
      <w:pPr>
        <w:pStyle w:val="123"/>
      </w:pPr>
      <w:r>
        <w:t>隐患排查治理；</w:t>
      </w:r>
    </w:p>
    <w:p w14:paraId="53CFF0E2">
      <w:pPr>
        <w:pStyle w:val="123"/>
      </w:pPr>
      <w:r>
        <w:t>缺陷与改进。</w:t>
      </w:r>
    </w:p>
    <w:p w14:paraId="40D4173D">
      <w:pPr>
        <w:pStyle w:val="82"/>
        <w:spacing w:before="158" w:after="158"/>
      </w:pPr>
      <w:bookmarkStart w:id="103" w:name="_Toc27994"/>
      <w:bookmarkStart w:id="104" w:name="_Toc29550"/>
      <w:r>
        <w:t>变更管理</w:t>
      </w:r>
      <w:bookmarkEnd w:id="103"/>
      <w:bookmarkEnd w:id="104"/>
    </w:p>
    <w:p w14:paraId="544FA474">
      <w:pPr>
        <w:pStyle w:val="96"/>
      </w:pPr>
      <w:r>
        <w:t>遇到下列情形之一时，及时修改完善双重预防工作体系，促进双重预防机制有效运行：</w:t>
      </w:r>
    </w:p>
    <w:p w14:paraId="5B2D0161">
      <w:pPr>
        <w:pStyle w:val="123"/>
      </w:pPr>
      <w:r>
        <w:t>法律法规及标准规程变化或更新；</w:t>
      </w:r>
    </w:p>
    <w:p w14:paraId="0BF83C5A">
      <w:pPr>
        <w:pStyle w:val="123"/>
      </w:pPr>
      <w:r>
        <w:t>政府规范性文件提出新要求；</w:t>
      </w:r>
    </w:p>
    <w:p w14:paraId="6FD27E5B">
      <w:pPr>
        <w:pStyle w:val="123"/>
      </w:pPr>
      <w:r>
        <w:t>新建、改建、扩建项目；</w:t>
      </w:r>
    </w:p>
    <w:p w14:paraId="246A64EE">
      <w:pPr>
        <w:pStyle w:val="123"/>
      </w:pPr>
      <w:r>
        <w:t>生产工艺流程和关键设备发生变更；</w:t>
      </w:r>
    </w:p>
    <w:p w14:paraId="70C292C0">
      <w:pPr>
        <w:pStyle w:val="123"/>
      </w:pPr>
      <w:r>
        <w:t>组织机构发生变化；</w:t>
      </w:r>
    </w:p>
    <w:p w14:paraId="46E16DA2">
      <w:pPr>
        <w:pStyle w:val="123"/>
      </w:pPr>
      <w:r>
        <w:t>发生伤亡事故或相关行业发生事故；</w:t>
      </w:r>
    </w:p>
    <w:p w14:paraId="3E157289">
      <w:pPr>
        <w:pStyle w:val="123"/>
      </w:pPr>
      <w:r>
        <w:t>外部环境发生重大变化；</w:t>
      </w:r>
    </w:p>
    <w:p w14:paraId="5248CAC6">
      <w:pPr>
        <w:pStyle w:val="123"/>
      </w:pPr>
      <w:r>
        <w:t>认为应当变更的其他情况。</w:t>
      </w:r>
    </w:p>
    <w:p w14:paraId="18A0C99F">
      <w:pPr>
        <w:pStyle w:val="96"/>
      </w:pPr>
      <w:r>
        <w:t>城镇燃气经营企业应在文档管理中记录相关变更信息。</w:t>
      </w:r>
    </w:p>
    <w:p w14:paraId="3BC53D67">
      <w:pPr>
        <w:pStyle w:val="51"/>
        <w:ind w:firstLine="420"/>
      </w:pPr>
    </w:p>
    <w:p w14:paraId="15F09152">
      <w:pPr>
        <w:pStyle w:val="51"/>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3"/>
          <w:pgNumType w:start="1"/>
          <w:cols w:space="720" w:num="1"/>
          <w:formProt w:val="0"/>
          <w:docGrid w:type="lines" w:linePitch="316" w:charSpace="0"/>
        </w:sectPr>
      </w:pPr>
    </w:p>
    <w:bookmarkEnd w:id="36"/>
    <w:p w14:paraId="5697860B">
      <w:pPr>
        <w:pStyle w:val="169"/>
      </w:pPr>
      <w:bookmarkStart w:id="105" w:name="BookMark5"/>
    </w:p>
    <w:p w14:paraId="4C1BB1C7">
      <w:pPr>
        <w:pStyle w:val="127"/>
      </w:pPr>
    </w:p>
    <w:p w14:paraId="38822228">
      <w:pPr>
        <w:pStyle w:val="144"/>
        <w:spacing w:before="79" w:after="158"/>
      </w:pPr>
      <w:bookmarkStart w:id="106" w:name="_Toc25127"/>
      <w:bookmarkStart w:id="107" w:name="_Toc13309"/>
      <w:r>
        <w:br w:type="textWrapping"/>
      </w:r>
      <w:r>
        <w:rPr>
          <w:rFonts w:hint="eastAsia"/>
        </w:rPr>
        <w:t>（资料性）</w:t>
      </w:r>
      <w:r>
        <w:rPr>
          <w:rFonts w:hint="eastAsia"/>
        </w:rPr>
        <w:br w:type="textWrapping"/>
      </w:r>
      <w:r>
        <w:rPr>
          <w:rFonts w:hint="eastAsia"/>
        </w:rPr>
        <w:t>设备设施和作业活动清单</w:t>
      </w:r>
      <w:bookmarkEnd w:id="106"/>
      <w:bookmarkEnd w:id="107"/>
    </w:p>
    <w:p w14:paraId="7369045F">
      <w:pPr>
        <w:pStyle w:val="147"/>
        <w:spacing w:before="158" w:after="158"/>
      </w:pPr>
      <w:r>
        <w:rPr>
          <w:rFonts w:hint="eastAsia"/>
        </w:rPr>
        <w:t>设备设施清单</w:t>
      </w:r>
    </w:p>
    <w:tbl>
      <w:tblPr>
        <w:tblStyle w:val="27"/>
        <w:tblW w:w="499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34"/>
        <w:gridCol w:w="1338"/>
        <w:gridCol w:w="1339"/>
        <w:gridCol w:w="1339"/>
        <w:gridCol w:w="1440"/>
        <w:gridCol w:w="1371"/>
        <w:gridCol w:w="1208"/>
      </w:tblGrid>
      <w:tr w14:paraId="466830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712" w:type="pct"/>
            <w:tcBorders>
              <w:bottom w:val="single" w:color="auto" w:sz="8" w:space="0"/>
            </w:tcBorders>
            <w:vAlign w:val="center"/>
          </w:tcPr>
          <w:p w14:paraId="3B10B628">
            <w:pPr>
              <w:adjustRightInd/>
              <w:spacing w:line="240" w:lineRule="auto"/>
              <w:jc w:val="center"/>
              <w:rPr>
                <w:rFonts w:ascii="宋体" w:hAnsi="宋体" w:cs="宋体"/>
                <w:bCs/>
                <w:sz w:val="18"/>
                <w:szCs w:val="18"/>
              </w:rPr>
            </w:pPr>
            <w:r>
              <w:rPr>
                <w:rFonts w:hint="eastAsia" w:ascii="宋体" w:hAnsi="宋体" w:cs="宋体"/>
                <w:bCs/>
                <w:sz w:val="18"/>
                <w:szCs w:val="18"/>
              </w:rPr>
              <w:t>序号</w:t>
            </w:r>
          </w:p>
        </w:tc>
        <w:tc>
          <w:tcPr>
            <w:tcW w:w="714" w:type="pct"/>
            <w:tcBorders>
              <w:bottom w:val="single" w:color="auto" w:sz="8" w:space="0"/>
            </w:tcBorders>
          </w:tcPr>
          <w:p w14:paraId="16BEFF70">
            <w:pPr>
              <w:adjustRightInd/>
              <w:spacing w:line="240" w:lineRule="auto"/>
              <w:jc w:val="center"/>
              <w:rPr>
                <w:rFonts w:ascii="宋体" w:hAnsi="宋体" w:cs="宋体"/>
                <w:bCs/>
                <w:sz w:val="18"/>
                <w:szCs w:val="18"/>
              </w:rPr>
            </w:pPr>
            <w:r>
              <w:rPr>
                <w:rFonts w:hint="eastAsia" w:ascii="宋体" w:hAnsi="宋体" w:cs="宋体"/>
                <w:bCs/>
                <w:sz w:val="18"/>
                <w:szCs w:val="18"/>
              </w:rPr>
              <w:t>设备设施名称</w:t>
            </w:r>
          </w:p>
        </w:tc>
        <w:tc>
          <w:tcPr>
            <w:tcW w:w="714" w:type="pct"/>
            <w:tcBorders>
              <w:bottom w:val="single" w:color="auto" w:sz="8" w:space="0"/>
            </w:tcBorders>
          </w:tcPr>
          <w:p w14:paraId="5324BEEA">
            <w:pPr>
              <w:adjustRightInd/>
              <w:spacing w:line="240" w:lineRule="auto"/>
              <w:jc w:val="center"/>
              <w:rPr>
                <w:rFonts w:ascii="宋体" w:hAnsi="宋体" w:cs="宋体"/>
                <w:bCs/>
                <w:sz w:val="18"/>
                <w:szCs w:val="18"/>
              </w:rPr>
            </w:pPr>
            <w:r>
              <w:rPr>
                <w:rFonts w:hint="eastAsia" w:ascii="宋体" w:hAnsi="宋体" w:cs="宋体"/>
                <w:bCs/>
                <w:sz w:val="18"/>
                <w:szCs w:val="18"/>
              </w:rPr>
              <w:t>类别</w:t>
            </w:r>
          </w:p>
        </w:tc>
        <w:tc>
          <w:tcPr>
            <w:tcW w:w="714" w:type="pct"/>
            <w:tcBorders>
              <w:bottom w:val="single" w:color="auto" w:sz="8" w:space="0"/>
            </w:tcBorders>
          </w:tcPr>
          <w:p w14:paraId="298A802C">
            <w:pPr>
              <w:adjustRightInd/>
              <w:spacing w:line="240" w:lineRule="auto"/>
              <w:jc w:val="center"/>
              <w:rPr>
                <w:rFonts w:ascii="宋体" w:hAnsi="宋体" w:cs="宋体"/>
                <w:bCs/>
                <w:sz w:val="18"/>
                <w:szCs w:val="18"/>
              </w:rPr>
            </w:pPr>
            <w:r>
              <w:rPr>
                <w:rFonts w:hint="eastAsia" w:ascii="宋体" w:hAnsi="宋体" w:cs="宋体"/>
                <w:bCs/>
                <w:sz w:val="18"/>
                <w:szCs w:val="18"/>
              </w:rPr>
              <w:t>型号</w:t>
            </w:r>
          </w:p>
        </w:tc>
        <w:tc>
          <w:tcPr>
            <w:tcW w:w="768" w:type="pct"/>
            <w:tcBorders>
              <w:bottom w:val="single" w:color="auto" w:sz="8" w:space="0"/>
            </w:tcBorders>
          </w:tcPr>
          <w:p w14:paraId="5B446E24">
            <w:pPr>
              <w:adjustRightInd/>
              <w:spacing w:line="240" w:lineRule="auto"/>
              <w:jc w:val="center"/>
              <w:rPr>
                <w:rFonts w:ascii="宋体" w:hAnsi="宋体" w:cs="宋体"/>
                <w:bCs/>
                <w:sz w:val="18"/>
                <w:szCs w:val="18"/>
              </w:rPr>
            </w:pPr>
            <w:r>
              <w:rPr>
                <w:rFonts w:hint="eastAsia" w:ascii="宋体" w:hAnsi="宋体" w:cs="宋体"/>
                <w:bCs/>
                <w:sz w:val="18"/>
                <w:szCs w:val="18"/>
              </w:rPr>
              <w:t>位号/所在部位</w:t>
            </w:r>
          </w:p>
        </w:tc>
        <w:tc>
          <w:tcPr>
            <w:tcW w:w="731" w:type="pct"/>
            <w:tcBorders>
              <w:bottom w:val="single" w:color="auto" w:sz="8" w:space="0"/>
            </w:tcBorders>
          </w:tcPr>
          <w:p w14:paraId="570EAAC4">
            <w:pPr>
              <w:adjustRightInd/>
              <w:spacing w:line="240" w:lineRule="auto"/>
              <w:jc w:val="center"/>
              <w:rPr>
                <w:rFonts w:ascii="宋体" w:hAnsi="宋体" w:cs="宋体"/>
                <w:bCs/>
                <w:sz w:val="18"/>
                <w:szCs w:val="18"/>
              </w:rPr>
            </w:pPr>
            <w:r>
              <w:rPr>
                <w:rFonts w:hint="eastAsia" w:ascii="宋体" w:hAnsi="宋体" w:cs="宋体"/>
                <w:bCs/>
                <w:sz w:val="18"/>
                <w:szCs w:val="18"/>
              </w:rPr>
              <w:t>是否特种设备</w:t>
            </w:r>
          </w:p>
        </w:tc>
        <w:tc>
          <w:tcPr>
            <w:tcW w:w="644" w:type="pct"/>
            <w:tcBorders>
              <w:bottom w:val="single" w:color="auto" w:sz="8" w:space="0"/>
            </w:tcBorders>
          </w:tcPr>
          <w:p w14:paraId="06C5828D">
            <w:pPr>
              <w:adjustRightInd/>
              <w:spacing w:line="240" w:lineRule="auto"/>
              <w:jc w:val="center"/>
              <w:rPr>
                <w:rFonts w:ascii="宋体" w:hAnsi="宋体" w:cs="宋体"/>
                <w:bCs/>
                <w:sz w:val="18"/>
                <w:szCs w:val="18"/>
              </w:rPr>
            </w:pPr>
            <w:r>
              <w:rPr>
                <w:rFonts w:hint="eastAsia" w:ascii="宋体" w:hAnsi="宋体" w:cs="宋体"/>
                <w:bCs/>
                <w:sz w:val="18"/>
                <w:szCs w:val="18"/>
              </w:rPr>
              <w:t>备注</w:t>
            </w:r>
          </w:p>
        </w:tc>
      </w:tr>
      <w:tr w14:paraId="3ED18C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712" w:type="pct"/>
            <w:tcBorders>
              <w:top w:val="single" w:color="auto" w:sz="8" w:space="0"/>
            </w:tcBorders>
          </w:tcPr>
          <w:p w14:paraId="51775D65">
            <w:pPr>
              <w:adjustRightInd/>
              <w:spacing w:line="240" w:lineRule="auto"/>
              <w:jc w:val="center"/>
              <w:rPr>
                <w:rFonts w:ascii="宋体" w:hAnsi="宋体" w:cs="宋体"/>
                <w:bCs/>
                <w:sz w:val="18"/>
                <w:szCs w:val="18"/>
              </w:rPr>
            </w:pPr>
          </w:p>
        </w:tc>
        <w:tc>
          <w:tcPr>
            <w:tcW w:w="714" w:type="pct"/>
            <w:tcBorders>
              <w:top w:val="single" w:color="auto" w:sz="8" w:space="0"/>
            </w:tcBorders>
          </w:tcPr>
          <w:p w14:paraId="0B05D9B5">
            <w:pPr>
              <w:adjustRightInd/>
              <w:spacing w:line="240" w:lineRule="auto"/>
              <w:jc w:val="center"/>
              <w:rPr>
                <w:rFonts w:ascii="宋体" w:hAnsi="宋体" w:cs="宋体"/>
                <w:bCs/>
                <w:sz w:val="18"/>
                <w:szCs w:val="18"/>
              </w:rPr>
            </w:pPr>
          </w:p>
        </w:tc>
        <w:tc>
          <w:tcPr>
            <w:tcW w:w="714" w:type="pct"/>
            <w:tcBorders>
              <w:top w:val="single" w:color="auto" w:sz="8" w:space="0"/>
            </w:tcBorders>
          </w:tcPr>
          <w:p w14:paraId="60D228FE">
            <w:pPr>
              <w:adjustRightInd/>
              <w:spacing w:line="240" w:lineRule="auto"/>
              <w:jc w:val="center"/>
              <w:rPr>
                <w:rFonts w:ascii="宋体" w:hAnsi="宋体" w:cs="宋体"/>
                <w:bCs/>
                <w:sz w:val="18"/>
                <w:szCs w:val="18"/>
              </w:rPr>
            </w:pPr>
          </w:p>
        </w:tc>
        <w:tc>
          <w:tcPr>
            <w:tcW w:w="714" w:type="pct"/>
            <w:tcBorders>
              <w:top w:val="single" w:color="auto" w:sz="8" w:space="0"/>
            </w:tcBorders>
          </w:tcPr>
          <w:p w14:paraId="5B5A6D28">
            <w:pPr>
              <w:adjustRightInd/>
              <w:spacing w:line="240" w:lineRule="auto"/>
              <w:jc w:val="center"/>
              <w:rPr>
                <w:rFonts w:ascii="宋体" w:hAnsi="宋体" w:cs="宋体"/>
                <w:bCs/>
                <w:sz w:val="18"/>
                <w:szCs w:val="18"/>
              </w:rPr>
            </w:pPr>
          </w:p>
        </w:tc>
        <w:tc>
          <w:tcPr>
            <w:tcW w:w="768" w:type="pct"/>
            <w:tcBorders>
              <w:top w:val="single" w:color="auto" w:sz="8" w:space="0"/>
            </w:tcBorders>
          </w:tcPr>
          <w:p w14:paraId="3FEE609F">
            <w:pPr>
              <w:adjustRightInd/>
              <w:spacing w:line="240" w:lineRule="auto"/>
              <w:jc w:val="center"/>
              <w:rPr>
                <w:rFonts w:ascii="宋体" w:hAnsi="宋体" w:cs="宋体"/>
                <w:bCs/>
                <w:sz w:val="18"/>
                <w:szCs w:val="18"/>
              </w:rPr>
            </w:pPr>
          </w:p>
        </w:tc>
        <w:tc>
          <w:tcPr>
            <w:tcW w:w="731" w:type="pct"/>
            <w:tcBorders>
              <w:top w:val="single" w:color="auto" w:sz="8" w:space="0"/>
            </w:tcBorders>
          </w:tcPr>
          <w:p w14:paraId="34A89D8C">
            <w:pPr>
              <w:adjustRightInd/>
              <w:spacing w:line="240" w:lineRule="auto"/>
              <w:jc w:val="center"/>
              <w:rPr>
                <w:rFonts w:ascii="宋体" w:hAnsi="宋体" w:cs="宋体"/>
                <w:bCs/>
                <w:sz w:val="18"/>
                <w:szCs w:val="18"/>
              </w:rPr>
            </w:pPr>
          </w:p>
        </w:tc>
        <w:tc>
          <w:tcPr>
            <w:tcW w:w="644" w:type="pct"/>
            <w:tcBorders>
              <w:top w:val="single" w:color="auto" w:sz="8" w:space="0"/>
            </w:tcBorders>
          </w:tcPr>
          <w:p w14:paraId="4C301BED">
            <w:pPr>
              <w:adjustRightInd/>
              <w:spacing w:line="240" w:lineRule="auto"/>
              <w:jc w:val="center"/>
              <w:rPr>
                <w:rFonts w:ascii="宋体" w:hAnsi="宋体" w:cs="宋体"/>
                <w:bCs/>
                <w:sz w:val="18"/>
                <w:szCs w:val="18"/>
              </w:rPr>
            </w:pPr>
          </w:p>
        </w:tc>
      </w:tr>
    </w:tbl>
    <w:p w14:paraId="724F807F">
      <w:pPr>
        <w:spacing w:line="240" w:lineRule="auto"/>
        <w:rPr>
          <w:rFonts w:ascii="宋体" w:hAnsi="宋体" w:cs="宋体"/>
          <w:bCs/>
          <w:sz w:val="18"/>
          <w:szCs w:val="18"/>
        </w:rPr>
      </w:pPr>
      <w:r>
        <w:rPr>
          <w:rFonts w:hint="eastAsia" w:ascii="宋体" w:hAnsi="宋体" w:cs="宋体"/>
          <w:bCs/>
          <w:sz w:val="18"/>
          <w:szCs w:val="18"/>
        </w:rPr>
        <w:t>填表人：                填表日期：    年    月    日    审核人：              审核日期：    年    月    日</w:t>
      </w:r>
    </w:p>
    <w:p w14:paraId="5D961275">
      <w:pPr>
        <w:pStyle w:val="147"/>
        <w:spacing w:before="158" w:after="158"/>
      </w:pPr>
      <w:r>
        <w:rPr>
          <w:rFonts w:hint="eastAsia"/>
        </w:rPr>
        <w:t>作业活动清单</w:t>
      </w:r>
    </w:p>
    <w:tbl>
      <w:tblPr>
        <w:tblStyle w:val="27"/>
        <w:tblW w:w="49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61"/>
        <w:gridCol w:w="1561"/>
        <w:gridCol w:w="1561"/>
        <w:gridCol w:w="1561"/>
        <w:gridCol w:w="1561"/>
        <w:gridCol w:w="1564"/>
      </w:tblGrid>
      <w:tr w14:paraId="7C58E2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33" w:type="pct"/>
            <w:tcBorders>
              <w:bottom w:val="single" w:color="auto" w:sz="8" w:space="0"/>
            </w:tcBorders>
            <w:vAlign w:val="center"/>
          </w:tcPr>
          <w:p w14:paraId="09134FCF">
            <w:pPr>
              <w:adjustRightInd/>
              <w:spacing w:line="240" w:lineRule="auto"/>
              <w:jc w:val="center"/>
              <w:rPr>
                <w:rFonts w:ascii="宋体" w:hAnsi="宋体" w:cs="宋体"/>
                <w:bCs/>
                <w:sz w:val="18"/>
                <w:szCs w:val="18"/>
              </w:rPr>
            </w:pPr>
            <w:r>
              <w:rPr>
                <w:rFonts w:hint="eastAsia" w:ascii="宋体" w:hAnsi="宋体" w:cs="宋体"/>
                <w:bCs/>
                <w:sz w:val="18"/>
                <w:szCs w:val="18"/>
              </w:rPr>
              <w:t>序号</w:t>
            </w:r>
          </w:p>
        </w:tc>
        <w:tc>
          <w:tcPr>
            <w:tcW w:w="833" w:type="pct"/>
            <w:tcBorders>
              <w:bottom w:val="single" w:color="auto" w:sz="8" w:space="0"/>
            </w:tcBorders>
          </w:tcPr>
          <w:p w14:paraId="3F24B6F7">
            <w:pPr>
              <w:adjustRightInd/>
              <w:spacing w:line="240" w:lineRule="auto"/>
              <w:jc w:val="center"/>
              <w:rPr>
                <w:rFonts w:ascii="宋体" w:hAnsi="宋体" w:cs="宋体"/>
                <w:bCs/>
                <w:sz w:val="18"/>
                <w:szCs w:val="18"/>
              </w:rPr>
            </w:pPr>
            <w:r>
              <w:rPr>
                <w:rFonts w:hint="eastAsia" w:ascii="宋体" w:hAnsi="宋体" w:cs="宋体"/>
                <w:bCs/>
                <w:sz w:val="18"/>
                <w:szCs w:val="18"/>
              </w:rPr>
              <w:t>作业活动名称</w:t>
            </w:r>
          </w:p>
        </w:tc>
        <w:tc>
          <w:tcPr>
            <w:tcW w:w="833" w:type="pct"/>
            <w:tcBorders>
              <w:bottom w:val="single" w:color="auto" w:sz="8" w:space="0"/>
            </w:tcBorders>
          </w:tcPr>
          <w:p w14:paraId="6A28C195">
            <w:pPr>
              <w:adjustRightInd/>
              <w:spacing w:line="240" w:lineRule="auto"/>
              <w:jc w:val="center"/>
              <w:rPr>
                <w:rFonts w:ascii="宋体" w:hAnsi="宋体" w:cs="宋体"/>
                <w:bCs/>
                <w:sz w:val="18"/>
                <w:szCs w:val="18"/>
              </w:rPr>
            </w:pPr>
            <w:r>
              <w:rPr>
                <w:rFonts w:hint="eastAsia" w:ascii="宋体" w:hAnsi="宋体" w:cs="宋体"/>
                <w:bCs/>
                <w:sz w:val="18"/>
                <w:szCs w:val="18"/>
              </w:rPr>
              <w:t>作业活动内容</w:t>
            </w:r>
          </w:p>
        </w:tc>
        <w:tc>
          <w:tcPr>
            <w:tcW w:w="833" w:type="pct"/>
            <w:tcBorders>
              <w:bottom w:val="single" w:color="auto" w:sz="8" w:space="0"/>
            </w:tcBorders>
          </w:tcPr>
          <w:p w14:paraId="4E88CA02">
            <w:pPr>
              <w:adjustRightInd/>
              <w:spacing w:line="240" w:lineRule="auto"/>
              <w:jc w:val="center"/>
              <w:rPr>
                <w:rFonts w:ascii="宋体" w:hAnsi="宋体" w:cs="宋体"/>
                <w:bCs/>
                <w:sz w:val="18"/>
                <w:szCs w:val="18"/>
              </w:rPr>
            </w:pPr>
            <w:r>
              <w:rPr>
                <w:rFonts w:hint="eastAsia" w:ascii="宋体" w:hAnsi="宋体" w:cs="宋体"/>
                <w:bCs/>
                <w:sz w:val="18"/>
                <w:szCs w:val="18"/>
              </w:rPr>
              <w:t>岗位/地点</w:t>
            </w:r>
          </w:p>
        </w:tc>
        <w:tc>
          <w:tcPr>
            <w:tcW w:w="833" w:type="pct"/>
            <w:tcBorders>
              <w:bottom w:val="single" w:color="auto" w:sz="8" w:space="0"/>
            </w:tcBorders>
          </w:tcPr>
          <w:p w14:paraId="3E072AD1">
            <w:pPr>
              <w:adjustRightInd/>
              <w:spacing w:line="240" w:lineRule="auto"/>
              <w:jc w:val="center"/>
              <w:rPr>
                <w:rFonts w:ascii="宋体" w:hAnsi="宋体" w:cs="宋体"/>
                <w:bCs/>
                <w:sz w:val="18"/>
                <w:szCs w:val="18"/>
              </w:rPr>
            </w:pPr>
            <w:r>
              <w:rPr>
                <w:rFonts w:hint="eastAsia" w:ascii="宋体" w:hAnsi="宋体" w:cs="宋体"/>
                <w:bCs/>
                <w:sz w:val="18"/>
                <w:szCs w:val="18"/>
              </w:rPr>
              <w:t>活动频率</w:t>
            </w:r>
          </w:p>
        </w:tc>
        <w:tc>
          <w:tcPr>
            <w:tcW w:w="834" w:type="pct"/>
            <w:tcBorders>
              <w:bottom w:val="single" w:color="auto" w:sz="8" w:space="0"/>
            </w:tcBorders>
          </w:tcPr>
          <w:p w14:paraId="295BC944">
            <w:pPr>
              <w:adjustRightInd/>
              <w:spacing w:line="240" w:lineRule="auto"/>
              <w:jc w:val="center"/>
              <w:rPr>
                <w:rFonts w:ascii="宋体" w:hAnsi="宋体" w:cs="宋体"/>
                <w:bCs/>
                <w:sz w:val="18"/>
                <w:szCs w:val="18"/>
              </w:rPr>
            </w:pPr>
            <w:r>
              <w:rPr>
                <w:rFonts w:hint="eastAsia" w:ascii="宋体" w:hAnsi="宋体" w:cs="宋体"/>
                <w:bCs/>
                <w:sz w:val="18"/>
                <w:szCs w:val="18"/>
              </w:rPr>
              <w:t>备注</w:t>
            </w:r>
          </w:p>
        </w:tc>
      </w:tr>
      <w:tr w14:paraId="252B1B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33" w:type="pct"/>
            <w:tcBorders>
              <w:top w:val="single" w:color="auto" w:sz="8" w:space="0"/>
            </w:tcBorders>
            <w:vAlign w:val="center"/>
          </w:tcPr>
          <w:p w14:paraId="7951F67B">
            <w:pPr>
              <w:adjustRightInd/>
              <w:spacing w:line="240" w:lineRule="auto"/>
              <w:jc w:val="center"/>
              <w:rPr>
                <w:rFonts w:ascii="宋体" w:hAnsi="宋体" w:cs="宋体"/>
                <w:bCs/>
                <w:sz w:val="18"/>
                <w:szCs w:val="18"/>
              </w:rPr>
            </w:pPr>
          </w:p>
        </w:tc>
        <w:tc>
          <w:tcPr>
            <w:tcW w:w="833" w:type="pct"/>
            <w:tcBorders>
              <w:top w:val="single" w:color="auto" w:sz="8" w:space="0"/>
            </w:tcBorders>
            <w:vAlign w:val="center"/>
          </w:tcPr>
          <w:p w14:paraId="1003EDFD">
            <w:pPr>
              <w:adjustRightInd/>
              <w:spacing w:line="240" w:lineRule="auto"/>
              <w:jc w:val="center"/>
              <w:rPr>
                <w:rFonts w:ascii="宋体" w:hAnsi="宋体" w:cs="宋体"/>
                <w:bCs/>
                <w:sz w:val="18"/>
                <w:szCs w:val="18"/>
              </w:rPr>
            </w:pPr>
          </w:p>
        </w:tc>
        <w:tc>
          <w:tcPr>
            <w:tcW w:w="833" w:type="pct"/>
            <w:tcBorders>
              <w:top w:val="single" w:color="auto" w:sz="8" w:space="0"/>
            </w:tcBorders>
            <w:vAlign w:val="center"/>
          </w:tcPr>
          <w:p w14:paraId="14488C88">
            <w:pPr>
              <w:adjustRightInd/>
              <w:spacing w:line="240" w:lineRule="auto"/>
              <w:jc w:val="center"/>
              <w:rPr>
                <w:rFonts w:ascii="宋体" w:hAnsi="宋体" w:cs="宋体"/>
                <w:bCs/>
                <w:sz w:val="18"/>
                <w:szCs w:val="18"/>
              </w:rPr>
            </w:pPr>
          </w:p>
        </w:tc>
        <w:tc>
          <w:tcPr>
            <w:tcW w:w="833" w:type="pct"/>
            <w:tcBorders>
              <w:top w:val="single" w:color="auto" w:sz="8" w:space="0"/>
            </w:tcBorders>
            <w:vAlign w:val="center"/>
          </w:tcPr>
          <w:p w14:paraId="45D43B60">
            <w:pPr>
              <w:adjustRightInd/>
              <w:spacing w:line="240" w:lineRule="auto"/>
              <w:jc w:val="center"/>
              <w:rPr>
                <w:rFonts w:ascii="宋体" w:hAnsi="宋体" w:cs="宋体"/>
                <w:bCs/>
                <w:sz w:val="18"/>
                <w:szCs w:val="18"/>
              </w:rPr>
            </w:pPr>
          </w:p>
        </w:tc>
        <w:tc>
          <w:tcPr>
            <w:tcW w:w="833" w:type="pct"/>
            <w:tcBorders>
              <w:top w:val="single" w:color="auto" w:sz="8" w:space="0"/>
            </w:tcBorders>
            <w:vAlign w:val="center"/>
          </w:tcPr>
          <w:p w14:paraId="0699A283">
            <w:pPr>
              <w:adjustRightInd/>
              <w:spacing w:line="240" w:lineRule="auto"/>
              <w:jc w:val="center"/>
              <w:rPr>
                <w:rFonts w:ascii="宋体" w:hAnsi="宋体" w:cs="宋体"/>
                <w:bCs/>
                <w:sz w:val="18"/>
                <w:szCs w:val="18"/>
              </w:rPr>
            </w:pPr>
          </w:p>
        </w:tc>
        <w:tc>
          <w:tcPr>
            <w:tcW w:w="834" w:type="pct"/>
            <w:tcBorders>
              <w:top w:val="single" w:color="auto" w:sz="8" w:space="0"/>
            </w:tcBorders>
            <w:vAlign w:val="center"/>
          </w:tcPr>
          <w:p w14:paraId="4F91FAD3">
            <w:pPr>
              <w:adjustRightInd/>
              <w:spacing w:line="240" w:lineRule="auto"/>
              <w:jc w:val="center"/>
              <w:rPr>
                <w:rFonts w:ascii="宋体" w:hAnsi="宋体" w:cs="宋体"/>
                <w:bCs/>
                <w:sz w:val="18"/>
                <w:szCs w:val="18"/>
              </w:rPr>
            </w:pPr>
          </w:p>
        </w:tc>
      </w:tr>
    </w:tbl>
    <w:p w14:paraId="2E279F63">
      <w:pPr>
        <w:spacing w:line="240" w:lineRule="auto"/>
        <w:rPr>
          <w:rFonts w:ascii="宋体" w:hAnsi="宋体" w:cs="宋体"/>
          <w:bCs/>
          <w:sz w:val="18"/>
          <w:szCs w:val="18"/>
        </w:rPr>
        <w:sectPr>
          <w:pgSz w:w="11906" w:h="16838"/>
          <w:pgMar w:top="1928" w:right="1134" w:bottom="1134" w:left="1134" w:header="1418" w:footer="1134" w:gutter="283"/>
          <w:cols w:space="720" w:num="1"/>
          <w:formProt w:val="0"/>
          <w:docGrid w:type="lines" w:linePitch="316" w:charSpace="0"/>
        </w:sectPr>
      </w:pPr>
      <w:r>
        <w:rPr>
          <w:rFonts w:hint="eastAsia" w:ascii="宋体" w:hAnsi="宋体" w:cs="宋体"/>
          <w:bCs/>
          <w:sz w:val="18"/>
          <w:szCs w:val="18"/>
        </w:rPr>
        <w:t>填表人：                填表日期：    年    月    日    审核人：              审核日期：    年    月    日</w:t>
      </w:r>
    </w:p>
    <w:p w14:paraId="7497BCBE">
      <w:pPr>
        <w:pStyle w:val="169"/>
      </w:pPr>
    </w:p>
    <w:p w14:paraId="706E39C1">
      <w:pPr>
        <w:pStyle w:val="127"/>
      </w:pPr>
    </w:p>
    <w:p w14:paraId="47878F29">
      <w:pPr>
        <w:pStyle w:val="144"/>
        <w:spacing w:before="79" w:after="158"/>
      </w:pPr>
      <w:bookmarkStart w:id="108" w:name="_Toc4803"/>
      <w:bookmarkStart w:id="109" w:name="_Toc15933"/>
      <w:r>
        <w:rPr>
          <w:rFonts w:hint="eastAsia"/>
        </w:rPr>
        <w:br w:type="textWrapping"/>
      </w:r>
      <w:r>
        <w:rPr>
          <w:rFonts w:hint="eastAsia"/>
        </w:rPr>
        <w:t>（资料性）</w:t>
      </w:r>
      <w:r>
        <w:rPr>
          <w:rFonts w:hint="eastAsia"/>
        </w:rPr>
        <w:br w:type="textWrapping"/>
      </w:r>
      <w:r>
        <w:rPr>
          <w:rFonts w:hint="eastAsia"/>
        </w:rPr>
        <w:t>安全风险辨识和管控清单</w:t>
      </w:r>
      <w:bookmarkEnd w:id="108"/>
      <w:bookmarkEnd w:id="109"/>
    </w:p>
    <w:p w14:paraId="2FFB5DDE">
      <w:pPr>
        <w:pStyle w:val="147"/>
        <w:spacing w:before="158" w:after="158"/>
      </w:pPr>
      <w:r>
        <w:rPr>
          <w:rFonts w:hint="eastAsia"/>
        </w:rPr>
        <w:t>安全风险辨识和管控清单</w:t>
      </w:r>
    </w:p>
    <w:p w14:paraId="64EEC323">
      <w:pPr>
        <w:jc w:val="left"/>
      </w:pPr>
      <w:r>
        <w:rPr>
          <w:rFonts w:hint="eastAsia"/>
          <w:bCs/>
          <w:sz w:val="18"/>
          <w:szCs w:val="18"/>
        </w:rPr>
        <w:t>危险源辨识单元：</w:t>
      </w:r>
      <w:r>
        <w:rPr>
          <w:rFonts w:ascii="Times New Roman" w:hAnsi="Times New Roman"/>
          <w:bCs/>
          <w:sz w:val="18"/>
          <w:szCs w:val="18"/>
        </w:rPr>
        <w:t xml:space="preserve"> </w:t>
      </w:r>
      <w:r>
        <w:rPr>
          <w:bCs/>
          <w:sz w:val="18"/>
          <w:szCs w:val="18"/>
        </w:rPr>
        <w:t xml:space="preserve">           </w:t>
      </w:r>
      <w:r>
        <w:rPr>
          <w:rFonts w:hint="eastAsia"/>
          <w:bCs/>
          <w:sz w:val="18"/>
          <w:szCs w:val="18"/>
        </w:rPr>
        <w:t xml:space="preserve">           </w:t>
      </w:r>
      <w:r>
        <w:rPr>
          <w:bCs/>
          <w:sz w:val="18"/>
          <w:szCs w:val="18"/>
        </w:rPr>
        <w:t xml:space="preserve">       </w:t>
      </w:r>
      <w:r>
        <w:rPr>
          <w:rFonts w:hint="eastAsia"/>
          <w:bCs/>
          <w:sz w:val="18"/>
          <w:szCs w:val="18"/>
        </w:rPr>
        <w:t>审核人：</w:t>
      </w:r>
      <w:r>
        <w:rPr>
          <w:bCs/>
          <w:sz w:val="18"/>
          <w:szCs w:val="18"/>
        </w:rPr>
        <w:t xml:space="preserve">                           </w:t>
      </w:r>
      <w:r>
        <w:rPr>
          <w:rFonts w:hint="eastAsia"/>
          <w:bCs/>
          <w:sz w:val="18"/>
          <w:szCs w:val="18"/>
        </w:rPr>
        <w:t>日期：</w:t>
      </w:r>
      <w:r>
        <w:rPr>
          <w:bCs/>
          <w:sz w:val="18"/>
          <w:szCs w:val="18"/>
        </w:rPr>
        <w:t xml:space="preserve">                  </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852"/>
        <w:gridCol w:w="814"/>
        <w:gridCol w:w="624"/>
        <w:gridCol w:w="624"/>
        <w:gridCol w:w="776"/>
        <w:gridCol w:w="776"/>
        <w:gridCol w:w="624"/>
        <w:gridCol w:w="624"/>
        <w:gridCol w:w="624"/>
        <w:gridCol w:w="624"/>
        <w:gridCol w:w="624"/>
        <w:gridCol w:w="624"/>
        <w:gridCol w:w="890"/>
      </w:tblGrid>
      <w:tr w14:paraId="013A3A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0" w:type="auto"/>
            <w:vMerge w:val="restart"/>
            <w:tcBorders>
              <w:bottom w:val="single" w:color="auto" w:sz="4" w:space="0"/>
              <w:right w:val="single" w:color="auto" w:sz="4" w:space="0"/>
            </w:tcBorders>
            <w:vAlign w:val="center"/>
          </w:tcPr>
          <w:p w14:paraId="53A6C9F1">
            <w:pPr>
              <w:adjustRightInd/>
              <w:spacing w:line="240" w:lineRule="auto"/>
              <w:jc w:val="center"/>
              <w:rPr>
                <w:rFonts w:ascii="宋体" w:hAnsi="宋体" w:cs="宋体"/>
                <w:sz w:val="18"/>
                <w:szCs w:val="18"/>
              </w:rPr>
            </w:pPr>
            <w:r>
              <w:rPr>
                <w:rFonts w:hint="eastAsia" w:ascii="宋体" w:hAnsi="宋体" w:cs="宋体"/>
                <w:color w:val="000000"/>
                <w:kern w:val="0"/>
                <w:sz w:val="18"/>
                <w:szCs w:val="18"/>
              </w:rPr>
              <w:t>序号</w:t>
            </w:r>
          </w:p>
        </w:tc>
        <w:tc>
          <w:tcPr>
            <w:tcW w:w="0" w:type="auto"/>
            <w:vMerge w:val="restart"/>
            <w:tcBorders>
              <w:left w:val="single" w:color="auto" w:sz="4" w:space="0"/>
              <w:bottom w:val="single" w:color="auto" w:sz="4" w:space="0"/>
              <w:right w:val="single" w:color="auto" w:sz="4" w:space="0"/>
            </w:tcBorders>
            <w:vAlign w:val="center"/>
          </w:tcPr>
          <w:p w14:paraId="750F804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场所/设备/环节</w:t>
            </w:r>
          </w:p>
        </w:tc>
        <w:tc>
          <w:tcPr>
            <w:tcW w:w="0" w:type="auto"/>
            <w:vMerge w:val="restart"/>
            <w:tcBorders>
              <w:left w:val="single" w:color="auto" w:sz="4" w:space="0"/>
              <w:bottom w:val="single" w:color="auto" w:sz="4" w:space="0"/>
              <w:right w:val="single" w:color="auto" w:sz="4" w:space="0"/>
            </w:tcBorders>
            <w:vAlign w:val="center"/>
          </w:tcPr>
          <w:p w14:paraId="0C9F6F7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危险物质/能量</w:t>
            </w:r>
          </w:p>
        </w:tc>
        <w:tc>
          <w:tcPr>
            <w:tcW w:w="0" w:type="auto"/>
            <w:vMerge w:val="restart"/>
            <w:tcBorders>
              <w:left w:val="single" w:color="auto" w:sz="4" w:space="0"/>
              <w:bottom w:val="single" w:color="auto" w:sz="4" w:space="0"/>
              <w:right w:val="single" w:color="auto" w:sz="4" w:space="0"/>
            </w:tcBorders>
            <w:vAlign w:val="center"/>
          </w:tcPr>
          <w:p w14:paraId="5661CC29">
            <w:pPr>
              <w:adjustRightInd/>
              <w:spacing w:line="240" w:lineRule="auto"/>
              <w:jc w:val="center"/>
              <w:rPr>
                <w:rFonts w:ascii="宋体" w:hAnsi="宋体" w:cs="宋体"/>
                <w:sz w:val="18"/>
                <w:szCs w:val="18"/>
              </w:rPr>
            </w:pPr>
            <w:r>
              <w:rPr>
                <w:rFonts w:hint="eastAsia" w:ascii="宋体" w:hAnsi="宋体" w:cs="宋体"/>
                <w:color w:val="000000"/>
                <w:kern w:val="0"/>
                <w:sz w:val="18"/>
                <w:szCs w:val="18"/>
              </w:rPr>
              <w:t>风险类型</w:t>
            </w:r>
          </w:p>
        </w:tc>
        <w:tc>
          <w:tcPr>
            <w:tcW w:w="0" w:type="auto"/>
            <w:vMerge w:val="restart"/>
            <w:tcBorders>
              <w:left w:val="single" w:color="auto" w:sz="4" w:space="0"/>
              <w:bottom w:val="single" w:color="auto" w:sz="4" w:space="0"/>
              <w:right w:val="single" w:color="auto" w:sz="4" w:space="0"/>
            </w:tcBorders>
            <w:vAlign w:val="center"/>
          </w:tcPr>
          <w:p w14:paraId="34E7EC2B">
            <w:pPr>
              <w:adjustRightInd/>
              <w:spacing w:line="240" w:lineRule="auto"/>
              <w:jc w:val="center"/>
              <w:rPr>
                <w:rFonts w:ascii="宋体" w:hAnsi="宋体" w:cs="宋体"/>
                <w:sz w:val="18"/>
                <w:szCs w:val="18"/>
              </w:rPr>
            </w:pPr>
            <w:r>
              <w:rPr>
                <w:rFonts w:hint="eastAsia" w:ascii="宋体" w:hAnsi="宋体" w:cs="宋体"/>
                <w:sz w:val="18"/>
                <w:szCs w:val="18"/>
              </w:rPr>
              <w:t>触发事件</w:t>
            </w:r>
          </w:p>
        </w:tc>
        <w:tc>
          <w:tcPr>
            <w:tcW w:w="0" w:type="auto"/>
            <w:vMerge w:val="restart"/>
            <w:tcBorders>
              <w:left w:val="single" w:color="auto" w:sz="4" w:space="0"/>
              <w:bottom w:val="single" w:color="auto" w:sz="4" w:space="0"/>
              <w:right w:val="single" w:color="auto" w:sz="4" w:space="0"/>
            </w:tcBorders>
            <w:vAlign w:val="center"/>
          </w:tcPr>
          <w:p w14:paraId="4E701880">
            <w:pPr>
              <w:adjustRightInd/>
              <w:spacing w:line="240" w:lineRule="auto"/>
              <w:jc w:val="center"/>
              <w:rPr>
                <w:rFonts w:ascii="宋体" w:hAnsi="宋体" w:cs="宋体"/>
                <w:sz w:val="18"/>
                <w:szCs w:val="18"/>
              </w:rPr>
            </w:pPr>
            <w:r>
              <w:rPr>
                <w:rFonts w:hint="eastAsia" w:ascii="宋体" w:hAnsi="宋体" w:cs="宋体"/>
                <w:color w:val="000000"/>
                <w:kern w:val="0"/>
                <w:sz w:val="18"/>
                <w:szCs w:val="18"/>
              </w:rPr>
              <w:t>固有风险等级</w:t>
            </w:r>
          </w:p>
        </w:tc>
        <w:tc>
          <w:tcPr>
            <w:tcW w:w="0" w:type="auto"/>
            <w:vMerge w:val="restart"/>
            <w:tcBorders>
              <w:left w:val="single" w:color="auto" w:sz="4" w:space="0"/>
              <w:bottom w:val="single" w:color="auto" w:sz="4" w:space="0"/>
              <w:right w:val="single" w:color="auto" w:sz="4" w:space="0"/>
            </w:tcBorders>
            <w:vAlign w:val="center"/>
          </w:tcPr>
          <w:p w14:paraId="31C134EB">
            <w:pPr>
              <w:adjustRightInd/>
              <w:spacing w:line="240" w:lineRule="auto"/>
              <w:jc w:val="center"/>
              <w:rPr>
                <w:rFonts w:ascii="宋体" w:hAnsi="宋体" w:cs="宋体"/>
                <w:sz w:val="18"/>
                <w:szCs w:val="18"/>
              </w:rPr>
            </w:pPr>
            <w:r>
              <w:rPr>
                <w:rFonts w:hint="eastAsia" w:ascii="宋体" w:hAnsi="宋体" w:cs="宋体"/>
                <w:color w:val="000000"/>
                <w:kern w:val="0"/>
                <w:sz w:val="18"/>
                <w:szCs w:val="18"/>
              </w:rPr>
              <w:t>残余风险等级</w:t>
            </w:r>
          </w:p>
        </w:tc>
        <w:tc>
          <w:tcPr>
            <w:tcW w:w="0" w:type="auto"/>
            <w:gridSpan w:val="5"/>
            <w:tcBorders>
              <w:left w:val="single" w:color="auto" w:sz="4" w:space="0"/>
              <w:bottom w:val="single" w:color="auto" w:sz="4" w:space="0"/>
              <w:right w:val="single" w:color="auto" w:sz="4" w:space="0"/>
            </w:tcBorders>
            <w:vAlign w:val="center"/>
          </w:tcPr>
          <w:p w14:paraId="2696F7B0">
            <w:pPr>
              <w:adjustRightInd/>
              <w:spacing w:line="240" w:lineRule="auto"/>
              <w:jc w:val="center"/>
              <w:rPr>
                <w:rFonts w:ascii="宋体" w:hAnsi="宋体" w:cs="宋体"/>
                <w:sz w:val="18"/>
                <w:szCs w:val="18"/>
              </w:rPr>
            </w:pPr>
            <w:r>
              <w:rPr>
                <w:rFonts w:hint="eastAsia" w:ascii="宋体" w:hAnsi="宋体" w:cs="宋体"/>
                <w:sz w:val="18"/>
                <w:szCs w:val="18"/>
              </w:rPr>
              <w:t>安全风险管控措施</w:t>
            </w:r>
          </w:p>
        </w:tc>
        <w:tc>
          <w:tcPr>
            <w:tcW w:w="0" w:type="auto"/>
            <w:vMerge w:val="restart"/>
            <w:tcBorders>
              <w:left w:val="single" w:color="auto" w:sz="4" w:space="0"/>
              <w:bottom w:val="single" w:color="auto" w:sz="4" w:space="0"/>
              <w:right w:val="single" w:color="auto" w:sz="4" w:space="0"/>
            </w:tcBorders>
            <w:vAlign w:val="center"/>
          </w:tcPr>
          <w:p w14:paraId="4EBD05A6">
            <w:pPr>
              <w:adjustRightInd/>
              <w:spacing w:line="240" w:lineRule="auto"/>
              <w:jc w:val="center"/>
              <w:rPr>
                <w:rFonts w:ascii="宋体" w:hAnsi="宋体" w:cs="宋体"/>
                <w:sz w:val="18"/>
                <w:szCs w:val="20"/>
              </w:rPr>
            </w:pPr>
            <w:r>
              <w:rPr>
                <w:rFonts w:hint="eastAsia" w:ascii="宋体" w:hAnsi="宋体" w:cs="宋体"/>
                <w:sz w:val="18"/>
                <w:szCs w:val="20"/>
              </w:rPr>
              <w:t>管控层级</w:t>
            </w:r>
          </w:p>
        </w:tc>
        <w:tc>
          <w:tcPr>
            <w:tcW w:w="0" w:type="auto"/>
            <w:vMerge w:val="restart"/>
            <w:tcBorders>
              <w:left w:val="single" w:color="auto" w:sz="4" w:space="0"/>
            </w:tcBorders>
            <w:vAlign w:val="center"/>
          </w:tcPr>
          <w:p w14:paraId="10A7DEB5">
            <w:pPr>
              <w:adjustRightInd/>
              <w:spacing w:line="240" w:lineRule="auto"/>
              <w:jc w:val="center"/>
              <w:rPr>
                <w:rFonts w:ascii="宋体" w:hAnsi="宋体" w:cs="宋体"/>
                <w:sz w:val="18"/>
                <w:szCs w:val="20"/>
              </w:rPr>
            </w:pPr>
            <w:r>
              <w:rPr>
                <w:rFonts w:hint="eastAsia" w:ascii="宋体" w:hAnsi="宋体" w:cs="宋体"/>
                <w:sz w:val="18"/>
                <w:szCs w:val="20"/>
              </w:rPr>
              <w:t>责任部门/责任人</w:t>
            </w:r>
          </w:p>
        </w:tc>
      </w:tr>
      <w:tr w14:paraId="270F4B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0" w:type="auto"/>
            <w:vMerge w:val="continue"/>
            <w:tcBorders>
              <w:top w:val="single" w:color="auto" w:sz="4" w:space="0"/>
              <w:bottom w:val="single" w:color="auto" w:sz="8" w:space="0"/>
              <w:right w:val="single" w:color="auto" w:sz="4" w:space="0"/>
            </w:tcBorders>
            <w:vAlign w:val="center"/>
          </w:tcPr>
          <w:p w14:paraId="33664F77">
            <w:pPr>
              <w:widowControl/>
              <w:adjustRightInd/>
              <w:spacing w:line="240" w:lineRule="auto"/>
              <w:jc w:val="left"/>
              <w:rPr>
                <w:rFonts w:ascii="宋体" w:hAnsi="宋体" w:cs="宋体"/>
                <w:sz w:val="18"/>
                <w:szCs w:val="18"/>
              </w:rPr>
            </w:pPr>
          </w:p>
        </w:tc>
        <w:tc>
          <w:tcPr>
            <w:tcW w:w="0" w:type="auto"/>
            <w:vMerge w:val="continue"/>
            <w:tcBorders>
              <w:top w:val="single" w:color="auto" w:sz="4" w:space="0"/>
              <w:left w:val="single" w:color="auto" w:sz="4" w:space="0"/>
              <w:bottom w:val="single" w:color="auto" w:sz="8" w:space="0"/>
              <w:right w:val="single" w:color="auto" w:sz="4" w:space="0"/>
            </w:tcBorders>
            <w:vAlign w:val="center"/>
          </w:tcPr>
          <w:p w14:paraId="44DD1027">
            <w:pPr>
              <w:widowControl/>
              <w:adjustRightInd/>
              <w:spacing w:line="240" w:lineRule="auto"/>
              <w:jc w:val="left"/>
              <w:rPr>
                <w:rFonts w:ascii="宋体" w:hAnsi="宋体" w:cs="宋体"/>
                <w:b/>
                <w:bCs/>
                <w:color w:val="000000"/>
                <w:kern w:val="0"/>
                <w:sz w:val="18"/>
                <w:szCs w:val="18"/>
              </w:rPr>
            </w:pPr>
          </w:p>
        </w:tc>
        <w:tc>
          <w:tcPr>
            <w:tcW w:w="0" w:type="auto"/>
            <w:vMerge w:val="continue"/>
            <w:tcBorders>
              <w:top w:val="single" w:color="auto" w:sz="4" w:space="0"/>
              <w:left w:val="single" w:color="auto" w:sz="4" w:space="0"/>
              <w:bottom w:val="single" w:color="auto" w:sz="8" w:space="0"/>
              <w:right w:val="single" w:color="auto" w:sz="4" w:space="0"/>
            </w:tcBorders>
            <w:vAlign w:val="center"/>
          </w:tcPr>
          <w:p w14:paraId="52EAE570">
            <w:pPr>
              <w:widowControl/>
              <w:adjustRightInd/>
              <w:spacing w:line="240" w:lineRule="auto"/>
              <w:jc w:val="left"/>
              <w:rPr>
                <w:rFonts w:ascii="宋体" w:hAnsi="宋体" w:cs="宋体"/>
                <w:sz w:val="18"/>
                <w:szCs w:val="18"/>
              </w:rPr>
            </w:pPr>
          </w:p>
        </w:tc>
        <w:tc>
          <w:tcPr>
            <w:tcW w:w="0" w:type="auto"/>
            <w:vMerge w:val="continue"/>
            <w:tcBorders>
              <w:top w:val="single" w:color="auto" w:sz="4" w:space="0"/>
              <w:left w:val="single" w:color="auto" w:sz="4" w:space="0"/>
              <w:bottom w:val="single" w:color="auto" w:sz="8" w:space="0"/>
              <w:right w:val="single" w:color="auto" w:sz="4" w:space="0"/>
            </w:tcBorders>
            <w:vAlign w:val="center"/>
          </w:tcPr>
          <w:p w14:paraId="3A75B308">
            <w:pPr>
              <w:widowControl/>
              <w:adjustRightInd/>
              <w:spacing w:line="240" w:lineRule="auto"/>
              <w:jc w:val="left"/>
              <w:rPr>
                <w:rFonts w:ascii="宋体" w:hAnsi="宋体" w:cs="宋体"/>
                <w:sz w:val="18"/>
                <w:szCs w:val="18"/>
              </w:rPr>
            </w:pPr>
          </w:p>
        </w:tc>
        <w:tc>
          <w:tcPr>
            <w:tcW w:w="0" w:type="auto"/>
            <w:vMerge w:val="continue"/>
            <w:tcBorders>
              <w:top w:val="single" w:color="auto" w:sz="4" w:space="0"/>
              <w:left w:val="single" w:color="auto" w:sz="4" w:space="0"/>
              <w:bottom w:val="single" w:color="auto" w:sz="8" w:space="0"/>
              <w:right w:val="single" w:color="auto" w:sz="4" w:space="0"/>
            </w:tcBorders>
            <w:vAlign w:val="center"/>
          </w:tcPr>
          <w:p w14:paraId="610C9C94">
            <w:pPr>
              <w:widowControl/>
              <w:adjustRightInd/>
              <w:spacing w:line="240" w:lineRule="auto"/>
              <w:jc w:val="left"/>
              <w:rPr>
                <w:rFonts w:ascii="宋体" w:hAnsi="宋体" w:cs="宋体"/>
                <w:sz w:val="18"/>
                <w:szCs w:val="18"/>
              </w:rPr>
            </w:pPr>
          </w:p>
        </w:tc>
        <w:tc>
          <w:tcPr>
            <w:tcW w:w="0" w:type="auto"/>
            <w:vMerge w:val="continue"/>
            <w:tcBorders>
              <w:top w:val="single" w:color="auto" w:sz="4" w:space="0"/>
              <w:left w:val="single" w:color="auto" w:sz="4" w:space="0"/>
              <w:bottom w:val="single" w:color="auto" w:sz="8" w:space="0"/>
              <w:right w:val="single" w:color="auto" w:sz="4" w:space="0"/>
            </w:tcBorders>
            <w:vAlign w:val="center"/>
          </w:tcPr>
          <w:p w14:paraId="21235B30">
            <w:pPr>
              <w:widowControl/>
              <w:adjustRightInd/>
              <w:spacing w:line="240" w:lineRule="auto"/>
              <w:jc w:val="left"/>
              <w:rPr>
                <w:rFonts w:ascii="宋体" w:hAnsi="宋体" w:cs="宋体"/>
                <w:sz w:val="18"/>
                <w:szCs w:val="18"/>
              </w:rPr>
            </w:pPr>
          </w:p>
        </w:tc>
        <w:tc>
          <w:tcPr>
            <w:tcW w:w="0" w:type="auto"/>
            <w:vMerge w:val="continue"/>
            <w:tcBorders>
              <w:top w:val="single" w:color="auto" w:sz="4" w:space="0"/>
              <w:left w:val="single" w:color="auto" w:sz="4" w:space="0"/>
              <w:bottom w:val="single" w:color="auto" w:sz="8" w:space="0"/>
              <w:right w:val="single" w:color="auto" w:sz="4" w:space="0"/>
            </w:tcBorders>
            <w:vAlign w:val="center"/>
          </w:tcPr>
          <w:p w14:paraId="4576B90C">
            <w:pPr>
              <w:widowControl/>
              <w:adjustRightInd/>
              <w:spacing w:line="240" w:lineRule="auto"/>
              <w:jc w:val="left"/>
              <w:rPr>
                <w:rFonts w:ascii="宋体" w:hAnsi="宋体" w:cs="宋体"/>
                <w:sz w:val="18"/>
                <w:szCs w:val="18"/>
              </w:rPr>
            </w:pPr>
          </w:p>
        </w:tc>
        <w:tc>
          <w:tcPr>
            <w:tcW w:w="0" w:type="auto"/>
            <w:tcBorders>
              <w:top w:val="single" w:color="auto" w:sz="4" w:space="0"/>
              <w:left w:val="single" w:color="auto" w:sz="4" w:space="0"/>
              <w:bottom w:val="single" w:color="auto" w:sz="8" w:space="0"/>
              <w:right w:val="single" w:color="auto" w:sz="4" w:space="0"/>
            </w:tcBorders>
            <w:vAlign w:val="center"/>
          </w:tcPr>
          <w:p w14:paraId="341AAB70">
            <w:pPr>
              <w:adjustRightInd/>
              <w:spacing w:line="240" w:lineRule="auto"/>
              <w:jc w:val="center"/>
              <w:rPr>
                <w:rFonts w:ascii="宋体" w:hAnsi="宋体" w:cs="宋体"/>
                <w:sz w:val="18"/>
                <w:szCs w:val="18"/>
              </w:rPr>
            </w:pPr>
            <w:r>
              <w:rPr>
                <w:rFonts w:hint="eastAsia" w:ascii="宋体" w:hAnsi="宋体" w:cs="宋体"/>
                <w:sz w:val="18"/>
                <w:szCs w:val="18"/>
              </w:rPr>
              <w:t>工程技术</w:t>
            </w:r>
          </w:p>
        </w:tc>
        <w:tc>
          <w:tcPr>
            <w:tcW w:w="0" w:type="auto"/>
            <w:tcBorders>
              <w:top w:val="single" w:color="auto" w:sz="4" w:space="0"/>
              <w:left w:val="single" w:color="auto" w:sz="4" w:space="0"/>
              <w:bottom w:val="single" w:color="auto" w:sz="8" w:space="0"/>
              <w:right w:val="single" w:color="auto" w:sz="4" w:space="0"/>
            </w:tcBorders>
            <w:vAlign w:val="center"/>
          </w:tcPr>
          <w:p w14:paraId="13F82E8D">
            <w:pPr>
              <w:adjustRightInd/>
              <w:spacing w:line="240" w:lineRule="auto"/>
              <w:jc w:val="center"/>
              <w:rPr>
                <w:rFonts w:ascii="宋体" w:hAnsi="宋体" w:cs="宋体"/>
                <w:sz w:val="18"/>
                <w:szCs w:val="18"/>
              </w:rPr>
            </w:pPr>
            <w:r>
              <w:rPr>
                <w:rFonts w:hint="eastAsia" w:ascii="宋体" w:hAnsi="宋体" w:cs="宋体"/>
                <w:sz w:val="18"/>
                <w:szCs w:val="18"/>
              </w:rPr>
              <w:t>安全管理</w:t>
            </w:r>
          </w:p>
        </w:tc>
        <w:tc>
          <w:tcPr>
            <w:tcW w:w="0" w:type="auto"/>
            <w:tcBorders>
              <w:top w:val="single" w:color="auto" w:sz="4" w:space="0"/>
              <w:left w:val="single" w:color="auto" w:sz="4" w:space="0"/>
              <w:bottom w:val="single" w:color="auto" w:sz="8" w:space="0"/>
              <w:right w:val="single" w:color="auto" w:sz="4" w:space="0"/>
            </w:tcBorders>
            <w:vAlign w:val="center"/>
          </w:tcPr>
          <w:p w14:paraId="4783D307">
            <w:pPr>
              <w:adjustRightInd/>
              <w:spacing w:line="240" w:lineRule="auto"/>
              <w:jc w:val="center"/>
              <w:rPr>
                <w:rFonts w:ascii="宋体" w:hAnsi="宋体" w:cs="宋体"/>
                <w:sz w:val="18"/>
                <w:szCs w:val="18"/>
              </w:rPr>
            </w:pPr>
            <w:r>
              <w:rPr>
                <w:rFonts w:hint="eastAsia" w:ascii="宋体" w:hAnsi="宋体" w:cs="宋体"/>
                <w:sz w:val="18"/>
                <w:szCs w:val="18"/>
              </w:rPr>
              <w:t>培训教育</w:t>
            </w:r>
          </w:p>
        </w:tc>
        <w:tc>
          <w:tcPr>
            <w:tcW w:w="0" w:type="auto"/>
            <w:tcBorders>
              <w:top w:val="single" w:color="auto" w:sz="4" w:space="0"/>
              <w:left w:val="single" w:color="auto" w:sz="4" w:space="0"/>
              <w:bottom w:val="single" w:color="auto" w:sz="8" w:space="0"/>
              <w:right w:val="single" w:color="auto" w:sz="4" w:space="0"/>
            </w:tcBorders>
            <w:vAlign w:val="center"/>
          </w:tcPr>
          <w:p w14:paraId="7D3FA02E">
            <w:pPr>
              <w:adjustRightInd/>
              <w:spacing w:line="240" w:lineRule="auto"/>
              <w:jc w:val="center"/>
              <w:rPr>
                <w:rFonts w:ascii="宋体" w:hAnsi="宋体" w:cs="宋体"/>
                <w:sz w:val="18"/>
                <w:szCs w:val="18"/>
              </w:rPr>
            </w:pPr>
            <w:r>
              <w:rPr>
                <w:rFonts w:hint="eastAsia" w:ascii="宋体" w:hAnsi="宋体" w:cs="宋体"/>
                <w:sz w:val="18"/>
                <w:szCs w:val="18"/>
              </w:rPr>
              <w:t>个体防护</w:t>
            </w:r>
          </w:p>
        </w:tc>
        <w:tc>
          <w:tcPr>
            <w:tcW w:w="0" w:type="auto"/>
            <w:tcBorders>
              <w:top w:val="single" w:color="auto" w:sz="4" w:space="0"/>
              <w:left w:val="single" w:color="auto" w:sz="4" w:space="0"/>
              <w:bottom w:val="single" w:color="auto" w:sz="8" w:space="0"/>
              <w:right w:val="single" w:color="auto" w:sz="4" w:space="0"/>
            </w:tcBorders>
            <w:vAlign w:val="center"/>
          </w:tcPr>
          <w:p w14:paraId="4AE80F78">
            <w:pPr>
              <w:adjustRightInd/>
              <w:spacing w:line="240" w:lineRule="auto"/>
              <w:jc w:val="center"/>
              <w:rPr>
                <w:rFonts w:ascii="宋体" w:hAnsi="宋体" w:cs="宋体"/>
                <w:sz w:val="18"/>
                <w:szCs w:val="18"/>
              </w:rPr>
            </w:pPr>
            <w:r>
              <w:rPr>
                <w:rFonts w:hint="eastAsia" w:ascii="宋体" w:hAnsi="宋体" w:cs="宋体"/>
                <w:sz w:val="18"/>
                <w:szCs w:val="18"/>
              </w:rPr>
              <w:t>应急处置</w:t>
            </w:r>
          </w:p>
        </w:tc>
        <w:tc>
          <w:tcPr>
            <w:tcW w:w="0" w:type="auto"/>
            <w:vMerge w:val="continue"/>
            <w:tcBorders>
              <w:top w:val="single" w:color="auto" w:sz="4" w:space="0"/>
              <w:left w:val="single" w:color="auto" w:sz="4" w:space="0"/>
              <w:bottom w:val="single" w:color="auto" w:sz="8" w:space="0"/>
              <w:right w:val="single" w:color="auto" w:sz="4" w:space="0"/>
            </w:tcBorders>
            <w:vAlign w:val="center"/>
          </w:tcPr>
          <w:p w14:paraId="2A8B33D1">
            <w:pPr>
              <w:widowControl/>
              <w:adjustRightInd/>
              <w:spacing w:line="240" w:lineRule="auto"/>
              <w:jc w:val="left"/>
              <w:rPr>
                <w:rFonts w:ascii="宋体" w:hAnsi="宋体" w:cs="宋体"/>
                <w:sz w:val="18"/>
                <w:szCs w:val="20"/>
              </w:rPr>
            </w:pPr>
          </w:p>
        </w:tc>
        <w:tc>
          <w:tcPr>
            <w:tcW w:w="0" w:type="auto"/>
            <w:vMerge w:val="continue"/>
            <w:tcBorders>
              <w:left w:val="single" w:color="auto" w:sz="4" w:space="0"/>
              <w:bottom w:val="single" w:color="auto" w:sz="8" w:space="0"/>
            </w:tcBorders>
            <w:vAlign w:val="center"/>
          </w:tcPr>
          <w:p w14:paraId="24B33D73">
            <w:pPr>
              <w:widowControl/>
              <w:adjustRightInd/>
              <w:spacing w:line="240" w:lineRule="auto"/>
              <w:jc w:val="left"/>
              <w:rPr>
                <w:rFonts w:ascii="宋体" w:hAnsi="宋体" w:cs="宋体"/>
                <w:sz w:val="18"/>
                <w:szCs w:val="20"/>
              </w:rPr>
            </w:pPr>
          </w:p>
        </w:tc>
      </w:tr>
      <w:tr w14:paraId="4A3FA5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8" w:space="0"/>
              <w:bottom w:val="single" w:color="auto" w:sz="4" w:space="0"/>
              <w:right w:val="single" w:color="auto" w:sz="4" w:space="0"/>
            </w:tcBorders>
            <w:vAlign w:val="center"/>
          </w:tcPr>
          <w:p w14:paraId="06F79468">
            <w:pPr>
              <w:adjustRightInd/>
              <w:spacing w:line="240" w:lineRule="auto"/>
              <w:jc w:val="center"/>
              <w:rPr>
                <w:rFonts w:ascii="宋体" w:hAnsi="宋体" w:cs="宋体"/>
                <w:sz w:val="18"/>
                <w:szCs w:val="20"/>
              </w:rPr>
            </w:pPr>
          </w:p>
        </w:tc>
        <w:tc>
          <w:tcPr>
            <w:tcW w:w="0" w:type="auto"/>
            <w:tcBorders>
              <w:top w:val="single" w:color="auto" w:sz="8" w:space="0"/>
              <w:left w:val="single" w:color="auto" w:sz="4" w:space="0"/>
              <w:bottom w:val="single" w:color="auto" w:sz="4" w:space="0"/>
              <w:right w:val="single" w:color="auto" w:sz="4" w:space="0"/>
            </w:tcBorders>
            <w:vAlign w:val="center"/>
          </w:tcPr>
          <w:p w14:paraId="269DE300">
            <w:pPr>
              <w:adjustRightInd/>
              <w:spacing w:line="240" w:lineRule="auto"/>
              <w:jc w:val="center"/>
              <w:rPr>
                <w:rFonts w:ascii="宋体" w:hAnsi="宋体" w:cs="宋体"/>
                <w:sz w:val="18"/>
                <w:szCs w:val="20"/>
              </w:rPr>
            </w:pPr>
          </w:p>
        </w:tc>
        <w:tc>
          <w:tcPr>
            <w:tcW w:w="0" w:type="auto"/>
            <w:tcBorders>
              <w:top w:val="single" w:color="auto" w:sz="8" w:space="0"/>
              <w:left w:val="single" w:color="auto" w:sz="4" w:space="0"/>
              <w:bottom w:val="single" w:color="auto" w:sz="4" w:space="0"/>
              <w:right w:val="single" w:color="auto" w:sz="4" w:space="0"/>
            </w:tcBorders>
            <w:vAlign w:val="center"/>
          </w:tcPr>
          <w:p w14:paraId="02EBCCB6">
            <w:pPr>
              <w:adjustRightInd/>
              <w:spacing w:line="240" w:lineRule="auto"/>
              <w:jc w:val="center"/>
              <w:rPr>
                <w:rFonts w:ascii="宋体" w:hAnsi="宋体" w:cs="宋体"/>
                <w:sz w:val="18"/>
                <w:szCs w:val="20"/>
              </w:rPr>
            </w:pPr>
          </w:p>
        </w:tc>
        <w:tc>
          <w:tcPr>
            <w:tcW w:w="0" w:type="auto"/>
            <w:tcBorders>
              <w:top w:val="single" w:color="auto" w:sz="8" w:space="0"/>
              <w:left w:val="single" w:color="auto" w:sz="4" w:space="0"/>
              <w:bottom w:val="single" w:color="auto" w:sz="4" w:space="0"/>
              <w:right w:val="single" w:color="auto" w:sz="4" w:space="0"/>
            </w:tcBorders>
            <w:vAlign w:val="center"/>
          </w:tcPr>
          <w:p w14:paraId="25727C57">
            <w:pPr>
              <w:adjustRightInd/>
              <w:spacing w:line="240" w:lineRule="auto"/>
              <w:jc w:val="center"/>
              <w:rPr>
                <w:rFonts w:ascii="宋体" w:hAnsi="宋体" w:cs="宋体"/>
                <w:sz w:val="18"/>
                <w:szCs w:val="20"/>
              </w:rPr>
            </w:pPr>
          </w:p>
        </w:tc>
        <w:tc>
          <w:tcPr>
            <w:tcW w:w="0" w:type="auto"/>
            <w:tcBorders>
              <w:top w:val="single" w:color="auto" w:sz="8" w:space="0"/>
              <w:left w:val="single" w:color="auto" w:sz="4" w:space="0"/>
              <w:bottom w:val="single" w:color="auto" w:sz="4" w:space="0"/>
              <w:right w:val="single" w:color="auto" w:sz="4" w:space="0"/>
            </w:tcBorders>
            <w:vAlign w:val="center"/>
          </w:tcPr>
          <w:p w14:paraId="1E819DB0">
            <w:pPr>
              <w:adjustRightInd/>
              <w:spacing w:line="240" w:lineRule="auto"/>
              <w:jc w:val="center"/>
              <w:rPr>
                <w:rFonts w:ascii="宋体" w:hAnsi="宋体" w:cs="宋体"/>
                <w:sz w:val="18"/>
                <w:szCs w:val="20"/>
              </w:rPr>
            </w:pPr>
          </w:p>
        </w:tc>
        <w:tc>
          <w:tcPr>
            <w:tcW w:w="0" w:type="auto"/>
            <w:tcBorders>
              <w:top w:val="single" w:color="auto" w:sz="8" w:space="0"/>
              <w:left w:val="single" w:color="auto" w:sz="4" w:space="0"/>
              <w:bottom w:val="single" w:color="auto" w:sz="4" w:space="0"/>
              <w:right w:val="single" w:color="auto" w:sz="4" w:space="0"/>
            </w:tcBorders>
            <w:vAlign w:val="center"/>
          </w:tcPr>
          <w:p w14:paraId="1961D334">
            <w:pPr>
              <w:adjustRightInd/>
              <w:spacing w:line="240" w:lineRule="auto"/>
              <w:jc w:val="center"/>
              <w:rPr>
                <w:rFonts w:ascii="宋体" w:hAnsi="宋体" w:cs="宋体"/>
                <w:sz w:val="18"/>
                <w:szCs w:val="20"/>
              </w:rPr>
            </w:pPr>
          </w:p>
        </w:tc>
        <w:tc>
          <w:tcPr>
            <w:tcW w:w="0" w:type="auto"/>
            <w:tcBorders>
              <w:top w:val="single" w:color="auto" w:sz="8" w:space="0"/>
              <w:left w:val="single" w:color="auto" w:sz="4" w:space="0"/>
              <w:bottom w:val="single" w:color="auto" w:sz="4" w:space="0"/>
              <w:right w:val="single" w:color="auto" w:sz="4" w:space="0"/>
            </w:tcBorders>
            <w:vAlign w:val="center"/>
          </w:tcPr>
          <w:p w14:paraId="2BC7CF4A">
            <w:pPr>
              <w:adjustRightInd/>
              <w:spacing w:line="240" w:lineRule="auto"/>
              <w:jc w:val="center"/>
              <w:rPr>
                <w:rFonts w:ascii="宋体" w:hAnsi="宋体" w:cs="宋体"/>
                <w:sz w:val="18"/>
                <w:szCs w:val="20"/>
              </w:rPr>
            </w:pPr>
          </w:p>
        </w:tc>
        <w:tc>
          <w:tcPr>
            <w:tcW w:w="0" w:type="auto"/>
            <w:tcBorders>
              <w:top w:val="single" w:color="auto" w:sz="8" w:space="0"/>
              <w:left w:val="single" w:color="auto" w:sz="4" w:space="0"/>
              <w:bottom w:val="single" w:color="auto" w:sz="4" w:space="0"/>
              <w:right w:val="single" w:color="auto" w:sz="4" w:space="0"/>
            </w:tcBorders>
            <w:vAlign w:val="center"/>
          </w:tcPr>
          <w:p w14:paraId="1F19605D">
            <w:pPr>
              <w:adjustRightInd/>
              <w:spacing w:line="240" w:lineRule="auto"/>
              <w:jc w:val="center"/>
              <w:rPr>
                <w:rFonts w:ascii="宋体" w:hAnsi="宋体" w:cs="宋体"/>
                <w:sz w:val="18"/>
                <w:szCs w:val="20"/>
              </w:rPr>
            </w:pPr>
          </w:p>
        </w:tc>
        <w:tc>
          <w:tcPr>
            <w:tcW w:w="0" w:type="auto"/>
            <w:tcBorders>
              <w:top w:val="single" w:color="auto" w:sz="8" w:space="0"/>
              <w:left w:val="single" w:color="auto" w:sz="4" w:space="0"/>
              <w:bottom w:val="single" w:color="auto" w:sz="4" w:space="0"/>
              <w:right w:val="single" w:color="auto" w:sz="4" w:space="0"/>
            </w:tcBorders>
            <w:vAlign w:val="center"/>
          </w:tcPr>
          <w:p w14:paraId="7123C725">
            <w:pPr>
              <w:adjustRightInd/>
              <w:spacing w:line="240" w:lineRule="auto"/>
              <w:jc w:val="center"/>
              <w:rPr>
                <w:rFonts w:ascii="宋体" w:hAnsi="宋体" w:cs="宋体"/>
                <w:sz w:val="18"/>
                <w:szCs w:val="20"/>
              </w:rPr>
            </w:pPr>
          </w:p>
        </w:tc>
        <w:tc>
          <w:tcPr>
            <w:tcW w:w="0" w:type="auto"/>
            <w:tcBorders>
              <w:top w:val="single" w:color="auto" w:sz="8" w:space="0"/>
              <w:left w:val="single" w:color="auto" w:sz="4" w:space="0"/>
              <w:bottom w:val="single" w:color="auto" w:sz="4" w:space="0"/>
              <w:right w:val="single" w:color="auto" w:sz="4" w:space="0"/>
            </w:tcBorders>
            <w:vAlign w:val="center"/>
          </w:tcPr>
          <w:p w14:paraId="11232CC6">
            <w:pPr>
              <w:adjustRightInd/>
              <w:spacing w:line="240" w:lineRule="auto"/>
              <w:jc w:val="center"/>
              <w:rPr>
                <w:rFonts w:ascii="宋体" w:hAnsi="宋体" w:cs="宋体"/>
                <w:sz w:val="18"/>
                <w:szCs w:val="20"/>
              </w:rPr>
            </w:pPr>
          </w:p>
        </w:tc>
        <w:tc>
          <w:tcPr>
            <w:tcW w:w="0" w:type="auto"/>
            <w:tcBorders>
              <w:top w:val="single" w:color="auto" w:sz="8" w:space="0"/>
              <w:left w:val="single" w:color="auto" w:sz="4" w:space="0"/>
              <w:bottom w:val="single" w:color="auto" w:sz="4" w:space="0"/>
              <w:right w:val="single" w:color="auto" w:sz="4" w:space="0"/>
            </w:tcBorders>
            <w:vAlign w:val="center"/>
          </w:tcPr>
          <w:p w14:paraId="479D3C8A">
            <w:pPr>
              <w:adjustRightInd/>
              <w:spacing w:line="240" w:lineRule="auto"/>
              <w:jc w:val="center"/>
              <w:rPr>
                <w:rFonts w:ascii="宋体" w:hAnsi="宋体" w:cs="宋体"/>
                <w:sz w:val="18"/>
                <w:szCs w:val="20"/>
              </w:rPr>
            </w:pPr>
          </w:p>
        </w:tc>
        <w:tc>
          <w:tcPr>
            <w:tcW w:w="0" w:type="auto"/>
            <w:tcBorders>
              <w:top w:val="single" w:color="auto" w:sz="8" w:space="0"/>
              <w:left w:val="single" w:color="auto" w:sz="4" w:space="0"/>
              <w:bottom w:val="single" w:color="auto" w:sz="4" w:space="0"/>
              <w:right w:val="single" w:color="auto" w:sz="4" w:space="0"/>
            </w:tcBorders>
            <w:vAlign w:val="center"/>
          </w:tcPr>
          <w:p w14:paraId="38934FCA">
            <w:pPr>
              <w:adjustRightInd/>
              <w:spacing w:line="240" w:lineRule="auto"/>
              <w:jc w:val="center"/>
              <w:rPr>
                <w:rFonts w:ascii="宋体" w:hAnsi="宋体" w:cs="宋体"/>
                <w:sz w:val="18"/>
                <w:szCs w:val="20"/>
              </w:rPr>
            </w:pPr>
          </w:p>
        </w:tc>
        <w:tc>
          <w:tcPr>
            <w:tcW w:w="0" w:type="auto"/>
            <w:tcBorders>
              <w:top w:val="single" w:color="auto" w:sz="8" w:space="0"/>
              <w:left w:val="single" w:color="auto" w:sz="4" w:space="0"/>
              <w:bottom w:val="single" w:color="auto" w:sz="4" w:space="0"/>
              <w:right w:val="single" w:color="auto" w:sz="4" w:space="0"/>
            </w:tcBorders>
            <w:vAlign w:val="center"/>
          </w:tcPr>
          <w:p w14:paraId="3AC0A7A3">
            <w:pPr>
              <w:adjustRightInd/>
              <w:spacing w:line="240" w:lineRule="auto"/>
              <w:jc w:val="center"/>
              <w:rPr>
                <w:rFonts w:ascii="宋体" w:hAnsi="宋体" w:cs="宋体"/>
                <w:sz w:val="18"/>
                <w:szCs w:val="20"/>
              </w:rPr>
            </w:pPr>
          </w:p>
        </w:tc>
        <w:tc>
          <w:tcPr>
            <w:tcW w:w="0" w:type="auto"/>
            <w:tcBorders>
              <w:top w:val="single" w:color="auto" w:sz="8" w:space="0"/>
              <w:left w:val="single" w:color="auto" w:sz="4" w:space="0"/>
              <w:bottom w:val="single" w:color="auto" w:sz="4" w:space="0"/>
            </w:tcBorders>
            <w:vAlign w:val="center"/>
          </w:tcPr>
          <w:p w14:paraId="3C0C91E2">
            <w:pPr>
              <w:adjustRightInd/>
              <w:spacing w:line="240" w:lineRule="auto"/>
              <w:jc w:val="center"/>
              <w:rPr>
                <w:rFonts w:ascii="宋体" w:hAnsi="宋体" w:cs="宋体"/>
                <w:sz w:val="18"/>
                <w:szCs w:val="20"/>
              </w:rPr>
            </w:pPr>
          </w:p>
        </w:tc>
      </w:tr>
      <w:tr w14:paraId="1309BC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bottom w:val="single" w:color="auto" w:sz="4" w:space="0"/>
              <w:right w:val="single" w:color="auto" w:sz="4" w:space="0"/>
            </w:tcBorders>
            <w:vAlign w:val="center"/>
          </w:tcPr>
          <w:p w14:paraId="183E23EA">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20562469">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678899DF">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03496378">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1EB9C42F">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1A034F61">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7E65357E">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06F2428B">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55283557">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47427D09">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71D92D75">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281A8BF1">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123E1A36">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tcBorders>
            <w:vAlign w:val="center"/>
          </w:tcPr>
          <w:p w14:paraId="096FB8BF">
            <w:pPr>
              <w:adjustRightInd/>
              <w:spacing w:line="240" w:lineRule="auto"/>
              <w:jc w:val="center"/>
              <w:rPr>
                <w:rFonts w:ascii="宋体" w:hAnsi="宋体" w:cs="宋体"/>
                <w:sz w:val="18"/>
                <w:szCs w:val="20"/>
              </w:rPr>
            </w:pPr>
          </w:p>
        </w:tc>
      </w:tr>
      <w:tr w14:paraId="1889EB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bottom w:val="single" w:color="auto" w:sz="4" w:space="0"/>
              <w:right w:val="single" w:color="auto" w:sz="4" w:space="0"/>
            </w:tcBorders>
            <w:vAlign w:val="center"/>
          </w:tcPr>
          <w:p w14:paraId="3743BA88">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6416B686">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35B206EA">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2DE5132B">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3B6E119B">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15FC5664">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325672D2">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47E4B103">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5AF30CC2">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4CCAEC23">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59945546">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0ED59570">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2181A512">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tcBorders>
            <w:vAlign w:val="center"/>
          </w:tcPr>
          <w:p w14:paraId="5698A4BB">
            <w:pPr>
              <w:adjustRightInd/>
              <w:spacing w:line="240" w:lineRule="auto"/>
              <w:jc w:val="center"/>
              <w:rPr>
                <w:rFonts w:ascii="宋体" w:hAnsi="宋体" w:cs="宋体"/>
                <w:sz w:val="18"/>
                <w:szCs w:val="20"/>
              </w:rPr>
            </w:pPr>
          </w:p>
        </w:tc>
      </w:tr>
      <w:tr w14:paraId="749569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bottom w:val="single" w:color="auto" w:sz="4" w:space="0"/>
              <w:right w:val="single" w:color="auto" w:sz="4" w:space="0"/>
            </w:tcBorders>
            <w:vAlign w:val="center"/>
          </w:tcPr>
          <w:p w14:paraId="6F075379">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5A668AF3">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28E577DB">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3A457B47">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78A2EF71">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370FBC56">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6227A5BF">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7CA0CA94">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34862421">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71EE8B73">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03C70CB7">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6785436E">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6FAF081B">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tcBorders>
            <w:vAlign w:val="center"/>
          </w:tcPr>
          <w:p w14:paraId="089F0A58">
            <w:pPr>
              <w:adjustRightInd/>
              <w:spacing w:line="240" w:lineRule="auto"/>
              <w:jc w:val="center"/>
              <w:rPr>
                <w:rFonts w:ascii="宋体" w:hAnsi="宋体" w:cs="宋体"/>
                <w:sz w:val="18"/>
                <w:szCs w:val="20"/>
              </w:rPr>
            </w:pPr>
          </w:p>
        </w:tc>
      </w:tr>
      <w:tr w14:paraId="6664E0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0" w:type="auto"/>
            <w:tcBorders>
              <w:top w:val="single" w:color="auto" w:sz="4" w:space="0"/>
              <w:bottom w:val="single" w:color="auto" w:sz="4" w:space="0"/>
              <w:right w:val="single" w:color="auto" w:sz="4" w:space="0"/>
            </w:tcBorders>
            <w:vAlign w:val="center"/>
          </w:tcPr>
          <w:p w14:paraId="113084BC">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6B638798">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79E75F22">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3D84B78C">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4B0502FF">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6BFEE3F4">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2FDEEF6F">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40B2ACA1">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0B3C7587">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7382BC19">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42D4430B">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4C2EF1A0">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63AF0A34">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4" w:space="0"/>
            </w:tcBorders>
            <w:vAlign w:val="center"/>
          </w:tcPr>
          <w:p w14:paraId="6AAD8E22">
            <w:pPr>
              <w:adjustRightInd/>
              <w:spacing w:line="240" w:lineRule="auto"/>
              <w:jc w:val="center"/>
              <w:rPr>
                <w:rFonts w:ascii="宋体" w:hAnsi="宋体" w:cs="宋体"/>
                <w:sz w:val="18"/>
                <w:szCs w:val="20"/>
              </w:rPr>
            </w:pPr>
          </w:p>
        </w:tc>
      </w:tr>
      <w:tr w14:paraId="392BD7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bottom w:val="single" w:color="auto" w:sz="8" w:space="0"/>
              <w:right w:val="single" w:color="auto" w:sz="4" w:space="0"/>
            </w:tcBorders>
            <w:vAlign w:val="center"/>
          </w:tcPr>
          <w:p w14:paraId="080080CC">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8" w:space="0"/>
              <w:right w:val="single" w:color="auto" w:sz="4" w:space="0"/>
            </w:tcBorders>
            <w:vAlign w:val="center"/>
          </w:tcPr>
          <w:p w14:paraId="131A5259">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8" w:space="0"/>
              <w:right w:val="single" w:color="auto" w:sz="4" w:space="0"/>
            </w:tcBorders>
            <w:vAlign w:val="center"/>
          </w:tcPr>
          <w:p w14:paraId="4EB53EE6">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8" w:space="0"/>
              <w:right w:val="single" w:color="auto" w:sz="4" w:space="0"/>
            </w:tcBorders>
            <w:vAlign w:val="center"/>
          </w:tcPr>
          <w:p w14:paraId="40F04B26">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8" w:space="0"/>
              <w:right w:val="single" w:color="auto" w:sz="4" w:space="0"/>
            </w:tcBorders>
            <w:vAlign w:val="center"/>
          </w:tcPr>
          <w:p w14:paraId="6197EB9B">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8" w:space="0"/>
              <w:right w:val="single" w:color="auto" w:sz="4" w:space="0"/>
            </w:tcBorders>
            <w:vAlign w:val="center"/>
          </w:tcPr>
          <w:p w14:paraId="08502FFF">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8" w:space="0"/>
              <w:right w:val="single" w:color="auto" w:sz="4" w:space="0"/>
            </w:tcBorders>
            <w:vAlign w:val="center"/>
          </w:tcPr>
          <w:p w14:paraId="513DC8FE">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8" w:space="0"/>
              <w:right w:val="single" w:color="auto" w:sz="4" w:space="0"/>
            </w:tcBorders>
            <w:vAlign w:val="center"/>
          </w:tcPr>
          <w:p w14:paraId="55CBCA04">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8" w:space="0"/>
              <w:right w:val="single" w:color="auto" w:sz="4" w:space="0"/>
            </w:tcBorders>
            <w:vAlign w:val="center"/>
          </w:tcPr>
          <w:p w14:paraId="46F52DC6">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8" w:space="0"/>
              <w:right w:val="single" w:color="auto" w:sz="4" w:space="0"/>
            </w:tcBorders>
            <w:vAlign w:val="center"/>
          </w:tcPr>
          <w:p w14:paraId="4C517668">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8" w:space="0"/>
              <w:right w:val="single" w:color="auto" w:sz="4" w:space="0"/>
            </w:tcBorders>
            <w:vAlign w:val="center"/>
          </w:tcPr>
          <w:p w14:paraId="3F35FBE3">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8" w:space="0"/>
              <w:right w:val="single" w:color="auto" w:sz="4" w:space="0"/>
            </w:tcBorders>
            <w:vAlign w:val="center"/>
          </w:tcPr>
          <w:p w14:paraId="25C4F2A6">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8" w:space="0"/>
              <w:right w:val="single" w:color="auto" w:sz="4" w:space="0"/>
            </w:tcBorders>
            <w:vAlign w:val="center"/>
          </w:tcPr>
          <w:p w14:paraId="2B8EA903">
            <w:pPr>
              <w:adjustRightInd/>
              <w:spacing w:line="240" w:lineRule="auto"/>
              <w:jc w:val="center"/>
              <w:rPr>
                <w:rFonts w:ascii="宋体" w:hAnsi="宋体" w:cs="宋体"/>
                <w:sz w:val="18"/>
                <w:szCs w:val="20"/>
              </w:rPr>
            </w:pPr>
          </w:p>
        </w:tc>
        <w:tc>
          <w:tcPr>
            <w:tcW w:w="0" w:type="auto"/>
            <w:tcBorders>
              <w:top w:val="single" w:color="auto" w:sz="4" w:space="0"/>
              <w:left w:val="single" w:color="auto" w:sz="4" w:space="0"/>
              <w:bottom w:val="single" w:color="auto" w:sz="8" w:space="0"/>
            </w:tcBorders>
            <w:vAlign w:val="center"/>
          </w:tcPr>
          <w:p w14:paraId="03FA633B">
            <w:pPr>
              <w:adjustRightInd/>
              <w:spacing w:line="240" w:lineRule="auto"/>
              <w:jc w:val="center"/>
              <w:rPr>
                <w:rFonts w:ascii="宋体" w:hAnsi="宋体" w:cs="宋体"/>
                <w:sz w:val="18"/>
                <w:szCs w:val="20"/>
              </w:rPr>
            </w:pPr>
          </w:p>
        </w:tc>
      </w:tr>
      <w:tr w14:paraId="2A5515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0" w:type="auto"/>
            <w:gridSpan w:val="14"/>
            <w:tcBorders>
              <w:top w:val="single" w:color="auto" w:sz="8" w:space="0"/>
            </w:tcBorders>
          </w:tcPr>
          <w:p w14:paraId="2308C848">
            <w:pPr>
              <w:pStyle w:val="191"/>
            </w:pPr>
            <w:r>
              <w:rPr>
                <w:rFonts w:hint="eastAsia"/>
              </w:rPr>
              <w:t>环节是在指定工作场所，设备实现的主要功能或人员的主要工作内容。</w:t>
            </w:r>
          </w:p>
          <w:p w14:paraId="28C4EC8A">
            <w:pPr>
              <w:pStyle w:val="191"/>
            </w:pPr>
            <w:r>
              <w:rPr>
                <w:rFonts w:hint="eastAsia"/>
              </w:rPr>
              <w:t>危险物质/能量主要指可燃、易燃、易爆、毒害物质或动能、势能、热能、电能、辐射能等。</w:t>
            </w:r>
          </w:p>
          <w:p w14:paraId="5B4227F8">
            <w:pPr>
              <w:pStyle w:val="191"/>
            </w:pPr>
            <w:r>
              <w:rPr>
                <w:rFonts w:hint="eastAsia"/>
              </w:rPr>
              <w:t>触发事件是指危险升级为事故时所需要的事件或者条件。</w:t>
            </w:r>
          </w:p>
        </w:tc>
      </w:tr>
    </w:tbl>
    <w:p w14:paraId="0808A4E0">
      <w:pPr>
        <w:pStyle w:val="147"/>
        <w:numPr>
          <w:ilvl w:val="0"/>
          <w:numId w:val="0"/>
        </w:numPr>
        <w:spacing w:before="158" w:after="158"/>
        <w:jc w:val="both"/>
        <w:sectPr>
          <w:pgSz w:w="11906" w:h="16838"/>
          <w:pgMar w:top="1928" w:right="1134" w:bottom="1134" w:left="1134" w:header="1418" w:footer="1134" w:gutter="283"/>
          <w:cols w:space="720" w:num="1"/>
          <w:formProt w:val="0"/>
          <w:docGrid w:type="lines" w:linePitch="316" w:charSpace="0"/>
        </w:sectPr>
      </w:pPr>
    </w:p>
    <w:p w14:paraId="1BBD2AF9">
      <w:pPr>
        <w:pStyle w:val="147"/>
        <w:spacing w:before="158" w:after="158"/>
      </w:pPr>
      <w:r>
        <w:rPr>
          <w:rFonts w:hint="eastAsia"/>
        </w:rPr>
        <w:t>安全风险辨识和管控清单示例(瓶装燃气经营企业)</w:t>
      </w:r>
    </w:p>
    <w:p w14:paraId="29955CB4">
      <w:pPr>
        <w:jc w:val="left"/>
      </w:pPr>
      <w:r>
        <w:rPr>
          <w:rFonts w:hint="eastAsia"/>
          <w:bCs/>
          <w:sz w:val="18"/>
          <w:szCs w:val="18"/>
        </w:rPr>
        <w:t>危险源辨识单元：</w:t>
      </w:r>
      <w:r>
        <w:rPr>
          <w:rFonts w:ascii="Times New Roman" w:hAnsi="Times New Roman"/>
          <w:bCs/>
          <w:sz w:val="18"/>
          <w:szCs w:val="18"/>
        </w:rPr>
        <w:t xml:space="preserve"> </w:t>
      </w:r>
      <w:r>
        <w:rPr>
          <w:bCs/>
          <w:sz w:val="18"/>
          <w:szCs w:val="18"/>
        </w:rPr>
        <w:t xml:space="preserve">           </w:t>
      </w:r>
      <w:r>
        <w:rPr>
          <w:rFonts w:hint="eastAsia"/>
          <w:bCs/>
          <w:sz w:val="18"/>
          <w:szCs w:val="18"/>
        </w:rPr>
        <w:t xml:space="preserve">           </w:t>
      </w:r>
      <w:r>
        <w:rPr>
          <w:bCs/>
          <w:sz w:val="18"/>
          <w:szCs w:val="18"/>
        </w:rPr>
        <w:t xml:space="preserve"> </w:t>
      </w:r>
      <w:r>
        <w:rPr>
          <w:rFonts w:hint="eastAsia"/>
          <w:bCs/>
          <w:sz w:val="18"/>
          <w:szCs w:val="18"/>
          <w:lang w:val="en-US" w:eastAsia="zh-CN"/>
        </w:rPr>
        <w:t xml:space="preserve">               </w:t>
      </w:r>
      <w:r>
        <w:rPr>
          <w:bCs/>
          <w:sz w:val="18"/>
          <w:szCs w:val="18"/>
        </w:rPr>
        <w:t xml:space="preserve">      </w:t>
      </w:r>
      <w:r>
        <w:rPr>
          <w:rFonts w:hint="eastAsia"/>
          <w:bCs/>
          <w:sz w:val="18"/>
          <w:szCs w:val="18"/>
        </w:rPr>
        <w:t>审核人：</w:t>
      </w:r>
      <w:r>
        <w:rPr>
          <w:bCs/>
          <w:sz w:val="18"/>
          <w:szCs w:val="18"/>
        </w:rPr>
        <w:t xml:space="preserve">          </w:t>
      </w:r>
      <w:r>
        <w:rPr>
          <w:rFonts w:hint="eastAsia"/>
          <w:bCs/>
          <w:sz w:val="18"/>
          <w:szCs w:val="18"/>
          <w:lang w:val="en-US" w:eastAsia="zh-CN"/>
        </w:rPr>
        <w:t xml:space="preserve">                        </w:t>
      </w:r>
      <w:r>
        <w:rPr>
          <w:bCs/>
          <w:sz w:val="18"/>
          <w:szCs w:val="18"/>
        </w:rPr>
        <w:t xml:space="preserve">                 </w:t>
      </w:r>
      <w:r>
        <w:rPr>
          <w:rFonts w:hint="eastAsia"/>
          <w:bCs/>
          <w:sz w:val="18"/>
          <w:szCs w:val="18"/>
        </w:rPr>
        <w:t>日期：</w:t>
      </w:r>
      <w:r>
        <w:rPr>
          <w:bCs/>
          <w:sz w:val="18"/>
          <w:szCs w:val="18"/>
        </w:rPr>
        <w:t xml:space="preserve">                  </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6"/>
        <w:gridCol w:w="600"/>
        <w:gridCol w:w="625"/>
        <w:gridCol w:w="744"/>
        <w:gridCol w:w="1392"/>
        <w:gridCol w:w="587"/>
        <w:gridCol w:w="576"/>
        <w:gridCol w:w="2604"/>
        <w:gridCol w:w="2437"/>
        <w:gridCol w:w="1308"/>
        <w:gridCol w:w="689"/>
        <w:gridCol w:w="762"/>
        <w:gridCol w:w="480"/>
        <w:gridCol w:w="626"/>
      </w:tblGrid>
      <w:tr w14:paraId="708D7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596" w:type="dxa"/>
            <w:vMerge w:val="restart"/>
            <w:tcBorders>
              <w:top w:val="single" w:color="auto" w:sz="4" w:space="0"/>
              <w:bottom w:val="single" w:color="auto" w:sz="8" w:space="0"/>
              <w:right w:val="single" w:color="auto" w:sz="4" w:space="0"/>
            </w:tcBorders>
            <w:vAlign w:val="center"/>
          </w:tcPr>
          <w:p w14:paraId="2E9FED10">
            <w:pPr>
              <w:adjustRightInd/>
              <w:spacing w:line="240" w:lineRule="auto"/>
              <w:jc w:val="center"/>
              <w:rPr>
                <w:rFonts w:ascii="宋体" w:hAnsi="宋体" w:cs="宋体"/>
                <w:sz w:val="18"/>
                <w:szCs w:val="18"/>
              </w:rPr>
            </w:pPr>
            <w:r>
              <w:rPr>
                <w:rFonts w:hint="eastAsia" w:ascii="宋体" w:hAnsi="宋体" w:cs="宋体"/>
                <w:color w:val="000000"/>
                <w:kern w:val="0"/>
                <w:sz w:val="18"/>
                <w:szCs w:val="18"/>
              </w:rPr>
              <w:t>序号</w:t>
            </w:r>
          </w:p>
        </w:tc>
        <w:tc>
          <w:tcPr>
            <w:tcW w:w="600" w:type="dxa"/>
            <w:vMerge w:val="restart"/>
            <w:tcBorders>
              <w:top w:val="single" w:color="auto" w:sz="4" w:space="0"/>
              <w:left w:val="single" w:color="auto" w:sz="4" w:space="0"/>
              <w:bottom w:val="single" w:color="auto" w:sz="8" w:space="0"/>
              <w:right w:val="single" w:color="auto" w:sz="4" w:space="0"/>
            </w:tcBorders>
            <w:vAlign w:val="center"/>
          </w:tcPr>
          <w:p w14:paraId="427703D3">
            <w:pPr>
              <w:widowControl/>
              <w:adjustRightInd/>
              <w:spacing w:line="240" w:lineRule="auto"/>
              <w:jc w:val="center"/>
              <w:rPr>
                <w:rFonts w:ascii="宋体" w:hAnsi="宋体" w:cs="宋体"/>
                <w:b/>
                <w:bCs/>
                <w:color w:val="000000"/>
                <w:kern w:val="0"/>
                <w:sz w:val="18"/>
                <w:szCs w:val="18"/>
              </w:rPr>
            </w:pPr>
            <w:r>
              <w:rPr>
                <w:rFonts w:hint="eastAsia" w:ascii="宋体" w:hAnsi="宋体" w:cs="宋体"/>
                <w:color w:val="000000"/>
                <w:kern w:val="0"/>
                <w:sz w:val="18"/>
                <w:szCs w:val="18"/>
              </w:rPr>
              <w:t>场所/设备/环节</w:t>
            </w:r>
          </w:p>
        </w:tc>
        <w:tc>
          <w:tcPr>
            <w:tcW w:w="625" w:type="dxa"/>
            <w:vMerge w:val="restart"/>
            <w:tcBorders>
              <w:top w:val="single" w:color="auto" w:sz="4" w:space="0"/>
              <w:left w:val="single" w:color="auto" w:sz="4" w:space="0"/>
              <w:bottom w:val="single" w:color="auto" w:sz="8" w:space="0"/>
              <w:right w:val="single" w:color="auto" w:sz="4" w:space="0"/>
            </w:tcBorders>
            <w:vAlign w:val="center"/>
          </w:tcPr>
          <w:p w14:paraId="274A733A">
            <w:pPr>
              <w:widowControl/>
              <w:adjustRightInd/>
              <w:spacing w:line="240" w:lineRule="auto"/>
              <w:jc w:val="center"/>
              <w:rPr>
                <w:rFonts w:ascii="宋体" w:hAnsi="宋体" w:cs="宋体"/>
                <w:sz w:val="18"/>
                <w:szCs w:val="18"/>
              </w:rPr>
            </w:pPr>
            <w:r>
              <w:rPr>
                <w:rFonts w:hint="eastAsia" w:ascii="宋体" w:hAnsi="宋体" w:cs="宋体"/>
                <w:color w:val="000000"/>
                <w:kern w:val="0"/>
                <w:sz w:val="18"/>
                <w:szCs w:val="18"/>
              </w:rPr>
              <w:t>危险物质/能量</w:t>
            </w:r>
          </w:p>
        </w:tc>
        <w:tc>
          <w:tcPr>
            <w:tcW w:w="744" w:type="dxa"/>
            <w:vMerge w:val="restart"/>
            <w:tcBorders>
              <w:top w:val="single" w:color="auto" w:sz="4" w:space="0"/>
              <w:left w:val="single" w:color="auto" w:sz="4" w:space="0"/>
              <w:bottom w:val="single" w:color="auto" w:sz="8" w:space="0"/>
              <w:right w:val="single" w:color="auto" w:sz="4" w:space="0"/>
            </w:tcBorders>
            <w:vAlign w:val="center"/>
          </w:tcPr>
          <w:p w14:paraId="5F33D7C7">
            <w:pPr>
              <w:adjustRightInd/>
              <w:spacing w:line="240" w:lineRule="auto"/>
              <w:jc w:val="center"/>
              <w:rPr>
                <w:rFonts w:ascii="宋体" w:hAnsi="宋体" w:cs="宋体"/>
                <w:sz w:val="18"/>
                <w:szCs w:val="18"/>
              </w:rPr>
            </w:pPr>
            <w:r>
              <w:rPr>
                <w:rFonts w:hint="eastAsia" w:ascii="宋体" w:hAnsi="宋体" w:cs="宋体"/>
                <w:color w:val="000000"/>
                <w:kern w:val="0"/>
                <w:sz w:val="18"/>
                <w:szCs w:val="18"/>
              </w:rPr>
              <w:t>风险类型</w:t>
            </w:r>
          </w:p>
        </w:tc>
        <w:tc>
          <w:tcPr>
            <w:tcW w:w="1392" w:type="dxa"/>
            <w:vMerge w:val="restart"/>
            <w:tcBorders>
              <w:top w:val="single" w:color="auto" w:sz="4" w:space="0"/>
              <w:left w:val="single" w:color="auto" w:sz="4" w:space="0"/>
              <w:bottom w:val="single" w:color="auto" w:sz="8" w:space="0"/>
              <w:right w:val="single" w:color="auto" w:sz="4" w:space="0"/>
            </w:tcBorders>
            <w:vAlign w:val="center"/>
          </w:tcPr>
          <w:p w14:paraId="22197ED0">
            <w:pPr>
              <w:adjustRightInd/>
              <w:spacing w:line="240" w:lineRule="auto"/>
              <w:jc w:val="center"/>
              <w:rPr>
                <w:rFonts w:ascii="宋体" w:hAnsi="宋体" w:cs="宋体"/>
                <w:sz w:val="18"/>
                <w:szCs w:val="18"/>
              </w:rPr>
            </w:pPr>
            <w:r>
              <w:rPr>
                <w:rFonts w:hint="eastAsia" w:ascii="宋体" w:hAnsi="宋体" w:cs="宋体"/>
                <w:sz w:val="18"/>
                <w:szCs w:val="18"/>
              </w:rPr>
              <w:t>触发事件</w:t>
            </w:r>
          </w:p>
        </w:tc>
        <w:tc>
          <w:tcPr>
            <w:tcW w:w="587" w:type="dxa"/>
            <w:vMerge w:val="restart"/>
            <w:tcBorders>
              <w:top w:val="single" w:color="auto" w:sz="4" w:space="0"/>
              <w:left w:val="single" w:color="auto" w:sz="4" w:space="0"/>
              <w:bottom w:val="single" w:color="auto" w:sz="8" w:space="0"/>
              <w:right w:val="single" w:color="auto" w:sz="4" w:space="0"/>
            </w:tcBorders>
            <w:vAlign w:val="center"/>
          </w:tcPr>
          <w:p w14:paraId="70184E40">
            <w:pPr>
              <w:adjustRightInd/>
              <w:spacing w:line="240" w:lineRule="auto"/>
              <w:jc w:val="center"/>
              <w:rPr>
                <w:rFonts w:ascii="宋体" w:hAnsi="宋体" w:cs="宋体"/>
                <w:sz w:val="18"/>
                <w:szCs w:val="18"/>
              </w:rPr>
            </w:pPr>
            <w:r>
              <w:rPr>
                <w:rFonts w:hint="eastAsia" w:ascii="宋体" w:hAnsi="宋体" w:cs="宋体"/>
                <w:color w:val="000000"/>
                <w:kern w:val="0"/>
                <w:sz w:val="18"/>
                <w:szCs w:val="18"/>
              </w:rPr>
              <w:t>固有风险等级</w:t>
            </w:r>
          </w:p>
        </w:tc>
        <w:tc>
          <w:tcPr>
            <w:tcW w:w="576" w:type="dxa"/>
            <w:vMerge w:val="restart"/>
            <w:tcBorders>
              <w:top w:val="single" w:color="auto" w:sz="4" w:space="0"/>
              <w:left w:val="single" w:color="auto" w:sz="4" w:space="0"/>
              <w:bottom w:val="single" w:color="auto" w:sz="8" w:space="0"/>
              <w:right w:val="single" w:color="auto" w:sz="4" w:space="0"/>
            </w:tcBorders>
            <w:vAlign w:val="center"/>
          </w:tcPr>
          <w:p w14:paraId="3FCFCC6D">
            <w:pPr>
              <w:adjustRightInd/>
              <w:spacing w:line="240" w:lineRule="auto"/>
              <w:jc w:val="center"/>
              <w:rPr>
                <w:rFonts w:ascii="宋体" w:hAnsi="宋体" w:cs="宋体"/>
                <w:sz w:val="18"/>
                <w:szCs w:val="18"/>
              </w:rPr>
            </w:pPr>
            <w:r>
              <w:rPr>
                <w:rFonts w:hint="eastAsia" w:ascii="宋体" w:hAnsi="宋体" w:cs="宋体"/>
                <w:color w:val="000000"/>
                <w:kern w:val="0"/>
                <w:sz w:val="18"/>
                <w:szCs w:val="18"/>
              </w:rPr>
              <w:t>残余风险等级</w:t>
            </w:r>
          </w:p>
        </w:tc>
        <w:tc>
          <w:tcPr>
            <w:tcW w:w="7800" w:type="dxa"/>
            <w:gridSpan w:val="5"/>
            <w:tcBorders>
              <w:top w:val="single" w:color="auto" w:sz="4" w:space="0"/>
              <w:left w:val="single" w:color="auto" w:sz="4" w:space="0"/>
              <w:bottom w:val="single" w:color="auto" w:sz="8" w:space="0"/>
              <w:right w:val="single" w:color="auto" w:sz="4" w:space="0"/>
            </w:tcBorders>
            <w:vAlign w:val="center"/>
          </w:tcPr>
          <w:p w14:paraId="06D9F283">
            <w:pPr>
              <w:widowControl/>
              <w:adjustRightInd/>
              <w:spacing w:line="240" w:lineRule="auto"/>
              <w:jc w:val="center"/>
              <w:rPr>
                <w:rFonts w:ascii="宋体" w:hAnsi="宋体" w:cs="宋体"/>
                <w:sz w:val="18"/>
                <w:szCs w:val="18"/>
              </w:rPr>
            </w:pPr>
            <w:r>
              <w:rPr>
                <w:rFonts w:hint="eastAsia" w:ascii="宋体" w:hAnsi="宋体" w:cs="宋体"/>
                <w:sz w:val="18"/>
                <w:szCs w:val="18"/>
              </w:rPr>
              <w:t>安全风险管控措施</w:t>
            </w:r>
          </w:p>
        </w:tc>
        <w:tc>
          <w:tcPr>
            <w:tcW w:w="480" w:type="dxa"/>
            <w:vMerge w:val="restart"/>
            <w:tcBorders>
              <w:top w:val="single" w:color="auto" w:sz="4" w:space="0"/>
              <w:left w:val="single" w:color="auto" w:sz="4" w:space="0"/>
              <w:bottom w:val="single" w:color="auto" w:sz="8" w:space="0"/>
              <w:right w:val="single" w:color="auto" w:sz="4" w:space="0"/>
            </w:tcBorders>
            <w:vAlign w:val="center"/>
          </w:tcPr>
          <w:p w14:paraId="35836CB0">
            <w:pPr>
              <w:adjustRightInd/>
              <w:spacing w:line="240" w:lineRule="auto"/>
              <w:jc w:val="center"/>
              <w:rPr>
                <w:rFonts w:ascii="宋体" w:hAnsi="宋体" w:cs="宋体"/>
                <w:sz w:val="18"/>
                <w:szCs w:val="20"/>
              </w:rPr>
            </w:pPr>
            <w:r>
              <w:rPr>
                <w:rFonts w:hint="eastAsia" w:ascii="宋体" w:hAnsi="宋体" w:cs="宋体"/>
                <w:sz w:val="18"/>
                <w:szCs w:val="20"/>
              </w:rPr>
              <w:t>管控层级</w:t>
            </w:r>
          </w:p>
        </w:tc>
        <w:tc>
          <w:tcPr>
            <w:tcW w:w="626" w:type="dxa"/>
            <w:vMerge w:val="restart"/>
            <w:tcBorders>
              <w:left w:val="single" w:color="auto" w:sz="4" w:space="0"/>
              <w:bottom w:val="single" w:color="auto" w:sz="8" w:space="0"/>
            </w:tcBorders>
            <w:vAlign w:val="center"/>
          </w:tcPr>
          <w:p w14:paraId="14DF3016">
            <w:pPr>
              <w:adjustRightInd/>
              <w:spacing w:line="240" w:lineRule="auto"/>
              <w:jc w:val="center"/>
              <w:rPr>
                <w:rFonts w:ascii="宋体" w:hAnsi="宋体" w:cs="宋体"/>
                <w:sz w:val="18"/>
                <w:szCs w:val="20"/>
              </w:rPr>
            </w:pPr>
            <w:r>
              <w:rPr>
                <w:rFonts w:hint="eastAsia" w:ascii="宋体" w:hAnsi="宋体" w:cs="宋体"/>
                <w:sz w:val="18"/>
                <w:szCs w:val="20"/>
              </w:rPr>
              <w:t>责任部门/责任人</w:t>
            </w:r>
          </w:p>
        </w:tc>
      </w:tr>
      <w:tr w14:paraId="6CE22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596" w:type="dxa"/>
            <w:vMerge w:val="continue"/>
            <w:tcBorders>
              <w:right w:val="single" w:color="auto" w:sz="4" w:space="0"/>
            </w:tcBorders>
            <w:vAlign w:val="center"/>
          </w:tcPr>
          <w:p w14:paraId="4052B375">
            <w:pPr>
              <w:widowControl/>
              <w:adjustRightInd/>
              <w:spacing w:line="240" w:lineRule="auto"/>
              <w:jc w:val="left"/>
              <w:rPr>
                <w:rFonts w:ascii="宋体" w:hAnsi="宋体" w:cs="宋体"/>
                <w:sz w:val="18"/>
                <w:szCs w:val="18"/>
              </w:rPr>
            </w:pPr>
          </w:p>
        </w:tc>
        <w:tc>
          <w:tcPr>
            <w:tcW w:w="600" w:type="dxa"/>
            <w:vMerge w:val="continue"/>
            <w:tcBorders>
              <w:left w:val="single" w:color="auto" w:sz="4" w:space="0"/>
              <w:right w:val="single" w:color="auto" w:sz="4" w:space="0"/>
            </w:tcBorders>
            <w:vAlign w:val="center"/>
          </w:tcPr>
          <w:p w14:paraId="221C6E01">
            <w:pPr>
              <w:widowControl/>
              <w:adjustRightInd/>
              <w:spacing w:line="240" w:lineRule="auto"/>
              <w:jc w:val="left"/>
              <w:rPr>
                <w:rFonts w:ascii="宋体" w:hAnsi="宋体" w:cs="宋体"/>
                <w:b/>
                <w:bCs/>
                <w:color w:val="000000"/>
                <w:kern w:val="0"/>
                <w:sz w:val="18"/>
                <w:szCs w:val="18"/>
              </w:rPr>
            </w:pPr>
          </w:p>
        </w:tc>
        <w:tc>
          <w:tcPr>
            <w:tcW w:w="625" w:type="dxa"/>
            <w:vMerge w:val="continue"/>
            <w:tcBorders>
              <w:left w:val="single" w:color="auto" w:sz="4" w:space="0"/>
              <w:right w:val="single" w:color="auto" w:sz="4" w:space="0"/>
            </w:tcBorders>
            <w:vAlign w:val="center"/>
          </w:tcPr>
          <w:p w14:paraId="6A3E21DA">
            <w:pPr>
              <w:widowControl/>
              <w:adjustRightInd/>
              <w:spacing w:line="240" w:lineRule="auto"/>
              <w:jc w:val="left"/>
              <w:rPr>
                <w:rFonts w:ascii="宋体" w:hAnsi="宋体" w:cs="宋体"/>
                <w:sz w:val="18"/>
                <w:szCs w:val="18"/>
              </w:rPr>
            </w:pPr>
          </w:p>
        </w:tc>
        <w:tc>
          <w:tcPr>
            <w:tcW w:w="744" w:type="dxa"/>
            <w:vMerge w:val="continue"/>
            <w:tcBorders>
              <w:left w:val="single" w:color="auto" w:sz="4" w:space="0"/>
              <w:right w:val="single" w:color="auto" w:sz="4" w:space="0"/>
            </w:tcBorders>
            <w:vAlign w:val="center"/>
          </w:tcPr>
          <w:p w14:paraId="7DF68206">
            <w:pPr>
              <w:widowControl/>
              <w:adjustRightInd/>
              <w:spacing w:line="240" w:lineRule="auto"/>
              <w:jc w:val="left"/>
              <w:rPr>
                <w:rFonts w:ascii="宋体" w:hAnsi="宋体" w:cs="宋体"/>
                <w:sz w:val="18"/>
                <w:szCs w:val="18"/>
              </w:rPr>
            </w:pPr>
          </w:p>
        </w:tc>
        <w:tc>
          <w:tcPr>
            <w:tcW w:w="1392" w:type="dxa"/>
            <w:vMerge w:val="continue"/>
            <w:tcBorders>
              <w:left w:val="single" w:color="auto" w:sz="4" w:space="0"/>
              <w:right w:val="single" w:color="auto" w:sz="4" w:space="0"/>
            </w:tcBorders>
            <w:vAlign w:val="center"/>
          </w:tcPr>
          <w:p w14:paraId="5478732D">
            <w:pPr>
              <w:widowControl/>
              <w:adjustRightInd/>
              <w:spacing w:line="240" w:lineRule="auto"/>
              <w:jc w:val="left"/>
              <w:rPr>
                <w:rFonts w:ascii="宋体" w:hAnsi="宋体" w:cs="宋体"/>
                <w:sz w:val="18"/>
                <w:szCs w:val="18"/>
              </w:rPr>
            </w:pPr>
          </w:p>
        </w:tc>
        <w:tc>
          <w:tcPr>
            <w:tcW w:w="587" w:type="dxa"/>
            <w:vMerge w:val="continue"/>
            <w:tcBorders>
              <w:left w:val="single" w:color="auto" w:sz="4" w:space="0"/>
              <w:right w:val="single" w:color="auto" w:sz="4" w:space="0"/>
            </w:tcBorders>
            <w:vAlign w:val="center"/>
          </w:tcPr>
          <w:p w14:paraId="1D21EBB2">
            <w:pPr>
              <w:widowControl/>
              <w:adjustRightInd/>
              <w:spacing w:line="240" w:lineRule="auto"/>
              <w:jc w:val="left"/>
              <w:rPr>
                <w:rFonts w:ascii="宋体" w:hAnsi="宋体" w:cs="宋体"/>
                <w:sz w:val="18"/>
                <w:szCs w:val="18"/>
              </w:rPr>
            </w:pPr>
          </w:p>
        </w:tc>
        <w:tc>
          <w:tcPr>
            <w:tcW w:w="576" w:type="dxa"/>
            <w:vMerge w:val="continue"/>
            <w:tcBorders>
              <w:left w:val="single" w:color="auto" w:sz="4" w:space="0"/>
              <w:right w:val="single" w:color="auto" w:sz="4" w:space="0"/>
            </w:tcBorders>
            <w:vAlign w:val="center"/>
          </w:tcPr>
          <w:p w14:paraId="7C77D7B9">
            <w:pPr>
              <w:widowControl/>
              <w:adjustRightInd/>
              <w:spacing w:line="240" w:lineRule="auto"/>
              <w:jc w:val="left"/>
              <w:rPr>
                <w:rFonts w:ascii="宋体" w:hAnsi="宋体" w:cs="宋体"/>
                <w:sz w:val="18"/>
                <w:szCs w:val="18"/>
              </w:rPr>
            </w:pPr>
          </w:p>
        </w:tc>
        <w:tc>
          <w:tcPr>
            <w:tcW w:w="2604" w:type="dxa"/>
            <w:tcBorders>
              <w:top w:val="single" w:color="auto" w:sz="4" w:space="0"/>
              <w:left w:val="single" w:color="auto" w:sz="4" w:space="0"/>
              <w:bottom w:val="single" w:color="auto" w:sz="8" w:space="0"/>
              <w:right w:val="single" w:color="auto" w:sz="4" w:space="0"/>
            </w:tcBorders>
            <w:vAlign w:val="center"/>
          </w:tcPr>
          <w:p w14:paraId="37535BE1">
            <w:pPr>
              <w:adjustRightInd/>
              <w:spacing w:line="240" w:lineRule="auto"/>
              <w:jc w:val="center"/>
              <w:rPr>
                <w:rFonts w:ascii="宋体" w:hAnsi="宋体" w:cs="宋体"/>
                <w:sz w:val="18"/>
                <w:szCs w:val="18"/>
              </w:rPr>
            </w:pPr>
            <w:r>
              <w:rPr>
                <w:rFonts w:hint="eastAsia" w:ascii="宋体" w:hAnsi="宋体" w:cs="宋体"/>
                <w:sz w:val="18"/>
                <w:szCs w:val="18"/>
              </w:rPr>
              <w:t>工程</w:t>
            </w:r>
          </w:p>
          <w:p w14:paraId="1259BDF0">
            <w:pPr>
              <w:adjustRightInd/>
              <w:spacing w:line="240" w:lineRule="auto"/>
              <w:jc w:val="center"/>
              <w:rPr>
                <w:rFonts w:hint="eastAsia" w:ascii="宋体" w:hAnsi="宋体" w:cs="宋体"/>
                <w:sz w:val="18"/>
                <w:szCs w:val="18"/>
              </w:rPr>
            </w:pPr>
            <w:r>
              <w:rPr>
                <w:rFonts w:hint="eastAsia" w:ascii="宋体" w:hAnsi="宋体" w:cs="宋体"/>
                <w:sz w:val="18"/>
                <w:szCs w:val="18"/>
              </w:rPr>
              <w:t>技术</w:t>
            </w:r>
          </w:p>
        </w:tc>
        <w:tc>
          <w:tcPr>
            <w:tcW w:w="2437" w:type="dxa"/>
            <w:tcBorders>
              <w:top w:val="single" w:color="auto" w:sz="4" w:space="0"/>
              <w:left w:val="single" w:color="auto" w:sz="4" w:space="0"/>
              <w:bottom w:val="single" w:color="auto" w:sz="8" w:space="0"/>
              <w:right w:val="single" w:color="auto" w:sz="4" w:space="0"/>
            </w:tcBorders>
            <w:vAlign w:val="center"/>
          </w:tcPr>
          <w:p w14:paraId="068FD5B5">
            <w:pPr>
              <w:adjustRightInd/>
              <w:spacing w:line="240" w:lineRule="auto"/>
              <w:jc w:val="center"/>
              <w:rPr>
                <w:rFonts w:ascii="宋体" w:hAnsi="宋体" w:cs="宋体"/>
                <w:sz w:val="18"/>
                <w:szCs w:val="18"/>
              </w:rPr>
            </w:pPr>
            <w:r>
              <w:rPr>
                <w:rFonts w:hint="eastAsia" w:ascii="宋体" w:hAnsi="宋体" w:cs="宋体"/>
                <w:sz w:val="18"/>
                <w:szCs w:val="18"/>
              </w:rPr>
              <w:t>安全</w:t>
            </w:r>
          </w:p>
          <w:p w14:paraId="1726EBFB">
            <w:pPr>
              <w:adjustRightInd/>
              <w:spacing w:line="240" w:lineRule="auto"/>
              <w:jc w:val="center"/>
              <w:rPr>
                <w:rFonts w:hint="eastAsia" w:ascii="宋体" w:hAnsi="宋体" w:cs="宋体"/>
                <w:sz w:val="18"/>
                <w:szCs w:val="18"/>
              </w:rPr>
            </w:pPr>
            <w:r>
              <w:rPr>
                <w:rFonts w:hint="eastAsia" w:ascii="宋体" w:hAnsi="宋体" w:cs="宋体"/>
                <w:sz w:val="18"/>
                <w:szCs w:val="18"/>
              </w:rPr>
              <w:t>管理</w:t>
            </w:r>
          </w:p>
        </w:tc>
        <w:tc>
          <w:tcPr>
            <w:tcW w:w="1308" w:type="dxa"/>
            <w:tcBorders>
              <w:top w:val="single" w:color="auto" w:sz="4" w:space="0"/>
              <w:left w:val="single" w:color="auto" w:sz="4" w:space="0"/>
              <w:bottom w:val="single" w:color="auto" w:sz="8" w:space="0"/>
              <w:right w:val="single" w:color="auto" w:sz="4" w:space="0"/>
            </w:tcBorders>
            <w:vAlign w:val="center"/>
          </w:tcPr>
          <w:p w14:paraId="6C5C928B">
            <w:pPr>
              <w:adjustRightInd/>
              <w:spacing w:line="240" w:lineRule="auto"/>
              <w:jc w:val="center"/>
              <w:rPr>
                <w:rFonts w:ascii="宋体" w:hAnsi="宋体" w:cs="宋体"/>
                <w:sz w:val="18"/>
                <w:szCs w:val="18"/>
              </w:rPr>
            </w:pPr>
            <w:r>
              <w:rPr>
                <w:rFonts w:hint="eastAsia" w:ascii="宋体" w:hAnsi="宋体" w:cs="宋体"/>
                <w:sz w:val="18"/>
                <w:szCs w:val="18"/>
              </w:rPr>
              <w:t>培训</w:t>
            </w:r>
          </w:p>
          <w:p w14:paraId="2CB288D8">
            <w:pPr>
              <w:adjustRightInd/>
              <w:spacing w:line="240" w:lineRule="auto"/>
              <w:jc w:val="center"/>
              <w:rPr>
                <w:rFonts w:hint="eastAsia" w:ascii="宋体" w:hAnsi="宋体" w:cs="宋体"/>
                <w:sz w:val="18"/>
                <w:szCs w:val="18"/>
              </w:rPr>
            </w:pPr>
            <w:r>
              <w:rPr>
                <w:rFonts w:hint="eastAsia" w:ascii="宋体" w:hAnsi="宋体" w:cs="宋体"/>
                <w:sz w:val="18"/>
                <w:szCs w:val="18"/>
              </w:rPr>
              <w:t>教育</w:t>
            </w:r>
          </w:p>
        </w:tc>
        <w:tc>
          <w:tcPr>
            <w:tcW w:w="689" w:type="dxa"/>
            <w:tcBorders>
              <w:top w:val="single" w:color="auto" w:sz="4" w:space="0"/>
              <w:left w:val="single" w:color="auto" w:sz="4" w:space="0"/>
              <w:bottom w:val="single" w:color="auto" w:sz="8" w:space="0"/>
              <w:right w:val="single" w:color="auto" w:sz="4" w:space="0"/>
            </w:tcBorders>
            <w:vAlign w:val="center"/>
          </w:tcPr>
          <w:p w14:paraId="0D6DEADE">
            <w:pPr>
              <w:adjustRightInd/>
              <w:spacing w:line="240" w:lineRule="auto"/>
              <w:jc w:val="center"/>
              <w:rPr>
                <w:rFonts w:hint="eastAsia" w:ascii="宋体" w:hAnsi="宋体" w:cs="宋体"/>
                <w:sz w:val="18"/>
                <w:szCs w:val="18"/>
              </w:rPr>
            </w:pPr>
            <w:r>
              <w:rPr>
                <w:rFonts w:hint="eastAsia" w:ascii="宋体" w:hAnsi="宋体" w:cs="宋体"/>
                <w:sz w:val="18"/>
                <w:szCs w:val="18"/>
              </w:rPr>
              <w:t>个体防护</w:t>
            </w:r>
          </w:p>
        </w:tc>
        <w:tc>
          <w:tcPr>
            <w:tcW w:w="762" w:type="dxa"/>
            <w:tcBorders>
              <w:top w:val="single" w:color="auto" w:sz="4" w:space="0"/>
              <w:left w:val="single" w:color="auto" w:sz="4" w:space="0"/>
              <w:bottom w:val="single" w:color="auto" w:sz="8" w:space="0"/>
              <w:right w:val="single" w:color="auto" w:sz="4" w:space="0"/>
            </w:tcBorders>
            <w:vAlign w:val="center"/>
          </w:tcPr>
          <w:p w14:paraId="1D04FC97">
            <w:pPr>
              <w:adjustRightInd/>
              <w:spacing w:line="240" w:lineRule="auto"/>
              <w:jc w:val="center"/>
              <w:rPr>
                <w:rFonts w:hint="eastAsia" w:ascii="宋体" w:hAnsi="宋体" w:cs="宋体"/>
                <w:sz w:val="18"/>
                <w:szCs w:val="18"/>
              </w:rPr>
            </w:pPr>
            <w:r>
              <w:rPr>
                <w:rFonts w:hint="eastAsia" w:ascii="宋体" w:hAnsi="宋体" w:cs="宋体"/>
                <w:sz w:val="18"/>
                <w:szCs w:val="18"/>
              </w:rPr>
              <w:t>应急</w:t>
            </w:r>
          </w:p>
          <w:p w14:paraId="4A7665A0">
            <w:pPr>
              <w:adjustRightInd/>
              <w:spacing w:line="240" w:lineRule="auto"/>
              <w:jc w:val="center"/>
              <w:rPr>
                <w:rFonts w:hint="eastAsia" w:ascii="宋体" w:hAnsi="宋体" w:cs="宋体"/>
                <w:sz w:val="18"/>
                <w:szCs w:val="18"/>
              </w:rPr>
            </w:pPr>
            <w:r>
              <w:rPr>
                <w:rFonts w:hint="eastAsia" w:ascii="宋体" w:hAnsi="宋体" w:cs="宋体"/>
                <w:sz w:val="18"/>
                <w:szCs w:val="18"/>
              </w:rPr>
              <w:t>处置</w:t>
            </w:r>
          </w:p>
        </w:tc>
        <w:tc>
          <w:tcPr>
            <w:tcW w:w="480" w:type="dxa"/>
            <w:vMerge w:val="continue"/>
            <w:tcBorders>
              <w:left w:val="single" w:color="auto" w:sz="4" w:space="0"/>
              <w:right w:val="single" w:color="auto" w:sz="4" w:space="0"/>
            </w:tcBorders>
            <w:vAlign w:val="center"/>
          </w:tcPr>
          <w:p w14:paraId="6794E41E">
            <w:pPr>
              <w:widowControl/>
              <w:adjustRightInd/>
              <w:spacing w:line="240" w:lineRule="auto"/>
              <w:jc w:val="left"/>
              <w:rPr>
                <w:rFonts w:ascii="宋体" w:hAnsi="宋体" w:cs="宋体"/>
                <w:sz w:val="18"/>
                <w:szCs w:val="20"/>
              </w:rPr>
            </w:pPr>
          </w:p>
        </w:tc>
        <w:tc>
          <w:tcPr>
            <w:tcW w:w="626" w:type="dxa"/>
            <w:vMerge w:val="continue"/>
            <w:tcBorders>
              <w:left w:val="single" w:color="auto" w:sz="4" w:space="0"/>
            </w:tcBorders>
            <w:vAlign w:val="center"/>
          </w:tcPr>
          <w:p w14:paraId="40CB28C0">
            <w:pPr>
              <w:widowControl/>
              <w:adjustRightInd/>
              <w:spacing w:line="240" w:lineRule="auto"/>
              <w:jc w:val="left"/>
              <w:rPr>
                <w:rFonts w:ascii="宋体" w:hAnsi="宋体" w:cs="宋体"/>
                <w:sz w:val="18"/>
                <w:szCs w:val="20"/>
              </w:rPr>
            </w:pPr>
          </w:p>
        </w:tc>
      </w:tr>
      <w:tr w14:paraId="606B73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8" w:space="0"/>
              <w:bottom w:val="single" w:color="auto" w:sz="4" w:space="0"/>
              <w:right w:val="single" w:color="auto" w:sz="4" w:space="0"/>
            </w:tcBorders>
            <w:shd w:val="clear" w:color="auto" w:fill="auto"/>
            <w:vAlign w:val="center"/>
          </w:tcPr>
          <w:p w14:paraId="7356528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0" w:type="dxa"/>
            <w:tcBorders>
              <w:top w:val="single" w:color="auto" w:sz="8" w:space="0"/>
              <w:left w:val="single" w:color="auto" w:sz="4" w:space="0"/>
              <w:bottom w:val="single" w:color="auto" w:sz="4" w:space="0"/>
              <w:right w:val="single" w:color="auto" w:sz="4" w:space="0"/>
            </w:tcBorders>
            <w:shd w:val="clear" w:color="auto" w:fill="auto"/>
            <w:vAlign w:val="center"/>
          </w:tcPr>
          <w:p w14:paraId="5CCB1521">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充装间/充装称、压力管道、LPG钢瓶/充装作业</w:t>
            </w:r>
          </w:p>
        </w:tc>
        <w:tc>
          <w:tcPr>
            <w:tcW w:w="625" w:type="dxa"/>
            <w:tcBorders>
              <w:top w:val="single" w:color="auto" w:sz="8" w:space="0"/>
              <w:left w:val="single" w:color="auto" w:sz="4" w:space="0"/>
              <w:bottom w:val="single" w:color="auto" w:sz="4" w:space="0"/>
              <w:right w:val="single" w:color="auto" w:sz="4" w:space="0"/>
            </w:tcBorders>
            <w:shd w:val="clear" w:color="auto" w:fill="auto"/>
            <w:vAlign w:val="center"/>
          </w:tcPr>
          <w:p w14:paraId="67AEDD07">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1.液化石油气</w:t>
            </w:r>
          </w:p>
          <w:p w14:paraId="25BAC62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2.点火源（明火、电火、高温、雷电）</w:t>
            </w:r>
          </w:p>
        </w:tc>
        <w:tc>
          <w:tcPr>
            <w:tcW w:w="744" w:type="dxa"/>
            <w:tcBorders>
              <w:top w:val="single" w:color="auto" w:sz="8" w:space="0"/>
              <w:left w:val="single" w:color="auto" w:sz="4" w:space="0"/>
              <w:bottom w:val="single" w:color="auto" w:sz="4" w:space="0"/>
              <w:right w:val="single" w:color="auto" w:sz="4" w:space="0"/>
            </w:tcBorders>
            <w:shd w:val="clear" w:color="auto" w:fill="auto"/>
            <w:vAlign w:val="center"/>
          </w:tcPr>
          <w:p w14:paraId="2BB4B9E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火灾、其他爆炸、容器爆炸、中毒和窒息</w:t>
            </w:r>
          </w:p>
        </w:tc>
        <w:tc>
          <w:tcPr>
            <w:tcW w:w="1392" w:type="dxa"/>
            <w:tcBorders>
              <w:top w:val="single" w:color="auto" w:sz="8" w:space="0"/>
              <w:left w:val="single" w:color="auto" w:sz="4" w:space="0"/>
              <w:bottom w:val="single" w:color="auto" w:sz="4" w:space="0"/>
              <w:right w:val="single" w:color="auto" w:sz="4" w:space="0"/>
            </w:tcBorders>
            <w:shd w:val="clear" w:color="auto" w:fill="auto"/>
            <w:vAlign w:val="center"/>
          </w:tcPr>
          <w:p w14:paraId="5B53ACBC">
            <w:pPr>
              <w:widowControl/>
              <w:adjustRightInd/>
              <w:spacing w:line="240" w:lineRule="auto"/>
              <w:rPr>
                <w:rFonts w:ascii="宋体" w:hAns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由于阀门损坏、密封填料磨损、老化，</w:t>
            </w:r>
            <w:r>
              <w:rPr>
                <w:rFonts w:hint="eastAsia" w:ascii="宋体" w:hAnsi="宋体" w:cs="宋体"/>
                <w:color w:val="000000"/>
                <w:kern w:val="0"/>
                <w:sz w:val="18"/>
                <w:szCs w:val="18"/>
              </w:rPr>
              <w:t>钢瓶腐蚀穿孔、破裂，</w:t>
            </w:r>
            <w:r>
              <w:rPr>
                <w:rFonts w:ascii="宋体" w:hAnsi="宋体" w:cs="宋体"/>
                <w:color w:val="000000"/>
                <w:kern w:val="0"/>
                <w:sz w:val="18"/>
                <w:szCs w:val="18"/>
              </w:rPr>
              <w:t>管线腐蚀穿孔、连接不规范等，造成液化石油气泄漏</w:t>
            </w:r>
            <w:r>
              <w:rPr>
                <w:rFonts w:hint="eastAsia" w:ascii="宋体" w:hAnsi="宋体" w:cs="宋体"/>
                <w:color w:val="000000"/>
                <w:kern w:val="0"/>
                <w:sz w:val="18"/>
                <w:szCs w:val="18"/>
              </w:rPr>
              <w:t>。</w:t>
            </w:r>
          </w:p>
          <w:p w14:paraId="1EF1B358">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2.抽烟、违规用火、用电、电气老化等原因引燃</w:t>
            </w:r>
            <w:r>
              <w:rPr>
                <w:rFonts w:ascii="宋体" w:hAnsi="宋体" w:cs="宋体"/>
                <w:color w:val="000000"/>
                <w:kern w:val="0"/>
                <w:sz w:val="18"/>
                <w:szCs w:val="18"/>
              </w:rPr>
              <w:t>达到爆炸极限</w:t>
            </w:r>
            <w:r>
              <w:rPr>
                <w:rFonts w:hint="eastAsia" w:ascii="宋体" w:hAnsi="宋体" w:cs="宋体"/>
                <w:color w:val="000000"/>
                <w:kern w:val="0"/>
                <w:sz w:val="18"/>
                <w:szCs w:val="18"/>
              </w:rPr>
              <w:t>的液化石油气</w:t>
            </w:r>
            <w:r>
              <w:rPr>
                <w:rFonts w:ascii="宋体" w:hAnsi="宋体" w:cs="宋体"/>
                <w:color w:val="000000"/>
                <w:kern w:val="0"/>
                <w:sz w:val="18"/>
                <w:szCs w:val="18"/>
              </w:rPr>
              <w:t>。</w:t>
            </w:r>
          </w:p>
          <w:p w14:paraId="7960D07B">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3.电气接地缺失、失效。</w:t>
            </w:r>
          </w:p>
        </w:tc>
        <w:tc>
          <w:tcPr>
            <w:tcW w:w="587" w:type="dxa"/>
            <w:tcBorders>
              <w:top w:val="single" w:color="auto" w:sz="8" w:space="0"/>
              <w:left w:val="single" w:color="auto" w:sz="4" w:space="0"/>
              <w:bottom w:val="single" w:color="auto" w:sz="4" w:space="0"/>
              <w:right w:val="single" w:color="auto" w:sz="4" w:space="0"/>
            </w:tcBorders>
            <w:shd w:val="clear" w:color="auto" w:fill="FFC000"/>
            <w:vAlign w:val="center"/>
          </w:tcPr>
          <w:p w14:paraId="7A688D2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较大风险</w:t>
            </w:r>
          </w:p>
        </w:tc>
        <w:tc>
          <w:tcPr>
            <w:tcW w:w="576" w:type="dxa"/>
            <w:tcBorders>
              <w:top w:val="single" w:color="auto" w:sz="8" w:space="0"/>
              <w:left w:val="single" w:color="auto" w:sz="4" w:space="0"/>
              <w:bottom w:val="single" w:color="auto" w:sz="4" w:space="0"/>
              <w:right w:val="single" w:color="auto" w:sz="4" w:space="0"/>
            </w:tcBorders>
            <w:shd w:val="clear" w:color="auto" w:fill="FFFF00"/>
            <w:vAlign w:val="center"/>
          </w:tcPr>
          <w:p w14:paraId="41336305">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一般风险</w:t>
            </w:r>
          </w:p>
        </w:tc>
        <w:tc>
          <w:tcPr>
            <w:tcW w:w="2604" w:type="dxa"/>
            <w:tcBorders>
              <w:top w:val="single" w:color="auto" w:sz="8" w:space="0"/>
              <w:left w:val="single" w:color="auto" w:sz="4" w:space="0"/>
              <w:bottom w:val="single" w:color="auto" w:sz="4" w:space="0"/>
              <w:right w:val="single" w:color="auto" w:sz="4" w:space="0"/>
            </w:tcBorders>
            <w:vAlign w:val="top"/>
          </w:tcPr>
          <w:p w14:paraId="7E02DC6E">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1.充装间与站内建（构）筑物的防火间距符合GB 51142的相关要求。</w:t>
            </w:r>
          </w:p>
          <w:p w14:paraId="48909C63">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2.设有2台以上（设有5台）自动充装秤，充装秤运行平稳，无异常响声、液化石油气泄漏及异常振动等现象，充装秤应检定合格并在有效期内。</w:t>
            </w:r>
          </w:p>
          <w:p w14:paraId="5F7EDBDD">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3.设有残液倒空和回收装置，在气温较低或气质较差时应在充装前倒残作，保证气瓶内残液量不超标。</w:t>
            </w:r>
          </w:p>
          <w:p w14:paraId="4598908A">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4.设有检斤称。</w:t>
            </w:r>
          </w:p>
          <w:p w14:paraId="73B2F951">
            <w:pPr>
              <w:widowControl/>
              <w:adjustRightInd/>
              <w:spacing w:line="240" w:lineRule="auto"/>
              <w:jc w:val="both"/>
              <w:rPr>
                <w:rFonts w:hint="eastAsia" w:ascii="宋体" w:hAnsi="宋体" w:cs="宋体"/>
                <w:color w:val="000000"/>
                <w:kern w:val="0"/>
                <w:sz w:val="18"/>
                <w:szCs w:val="18"/>
              </w:rPr>
            </w:pPr>
            <w:r>
              <w:rPr>
                <w:rFonts w:hint="eastAsia" w:ascii="宋体" w:hAnsi="宋体" w:cs="宋体"/>
                <w:color w:val="000000"/>
                <w:kern w:val="0"/>
                <w:sz w:val="18"/>
                <w:szCs w:val="18"/>
              </w:rPr>
              <w:t>5.设置可燃气体报警器，探测器与实际检测气体一致。</w:t>
            </w:r>
          </w:p>
          <w:p w14:paraId="7B8C3AFF">
            <w:pPr>
              <w:widowControl/>
              <w:adjustRightInd/>
              <w:spacing w:line="240" w:lineRule="auto"/>
              <w:jc w:val="both"/>
              <w:rPr>
                <w:rFonts w:hint="eastAsia" w:ascii="宋体" w:hAnsi="宋体" w:cs="宋体"/>
                <w:color w:val="000000"/>
                <w:kern w:val="0"/>
                <w:sz w:val="18"/>
                <w:szCs w:val="18"/>
              </w:rPr>
            </w:pPr>
            <w:r>
              <w:rPr>
                <w:rFonts w:hint="eastAsia" w:ascii="宋体" w:hAnsi="宋体" w:cs="宋体"/>
                <w:color w:val="000000"/>
                <w:kern w:val="0"/>
                <w:sz w:val="18"/>
                <w:szCs w:val="18"/>
              </w:rPr>
              <w:t>6.气瓶按实瓶区、空瓶区分组布置。气瓶摆放时，</w:t>
            </w:r>
            <w:r>
              <w:rPr>
                <w:rFonts w:ascii="宋体" w:hAnsi="宋体" w:cs="宋体"/>
                <w:color w:val="000000"/>
                <w:kern w:val="0"/>
                <w:sz w:val="18"/>
                <w:szCs w:val="18"/>
              </w:rPr>
              <w:t>15</w:t>
            </w:r>
            <w:r>
              <w:rPr>
                <w:rFonts w:hint="eastAsia" w:ascii="宋体" w:hAnsi="宋体" w:cs="宋体"/>
                <w:color w:val="000000"/>
                <w:kern w:val="0"/>
                <w:sz w:val="18"/>
                <w:szCs w:val="18"/>
              </w:rPr>
              <w:t xml:space="preserve"> </w:t>
            </w:r>
            <w:r>
              <w:rPr>
                <w:rFonts w:ascii="宋体" w:hAnsi="宋体" w:cs="宋体"/>
                <w:color w:val="000000"/>
                <w:kern w:val="0"/>
                <w:sz w:val="18"/>
                <w:szCs w:val="18"/>
              </w:rPr>
              <w:t>kg</w:t>
            </w:r>
            <w:r>
              <w:rPr>
                <w:rFonts w:hint="eastAsia" w:ascii="宋体" w:hAnsi="宋体" w:cs="宋体"/>
                <w:color w:val="000000"/>
                <w:kern w:val="0"/>
                <w:sz w:val="18"/>
                <w:szCs w:val="18"/>
              </w:rPr>
              <w:t>和</w:t>
            </w:r>
            <w:r>
              <w:rPr>
                <w:rFonts w:ascii="宋体" w:hAnsi="宋体" w:cs="宋体"/>
                <w:color w:val="000000"/>
                <w:kern w:val="0"/>
                <w:sz w:val="18"/>
                <w:szCs w:val="18"/>
              </w:rPr>
              <w:t>15</w:t>
            </w:r>
            <w:r>
              <w:rPr>
                <w:rFonts w:hint="eastAsia" w:ascii="宋体" w:hAnsi="宋体" w:cs="宋体"/>
                <w:color w:val="000000"/>
                <w:kern w:val="0"/>
                <w:sz w:val="18"/>
                <w:szCs w:val="18"/>
              </w:rPr>
              <w:t xml:space="preserve"> </w:t>
            </w:r>
            <w:r>
              <w:rPr>
                <w:rFonts w:ascii="宋体" w:hAnsi="宋体" w:cs="宋体"/>
                <w:color w:val="000000"/>
                <w:kern w:val="0"/>
                <w:sz w:val="18"/>
                <w:szCs w:val="18"/>
              </w:rPr>
              <w:t>kg</w:t>
            </w:r>
            <w:r>
              <w:rPr>
                <w:rFonts w:hint="eastAsia" w:ascii="宋体" w:hAnsi="宋体" w:cs="宋体"/>
                <w:color w:val="000000"/>
                <w:kern w:val="0"/>
                <w:sz w:val="18"/>
                <w:szCs w:val="18"/>
              </w:rPr>
              <w:t>以上气瓶不得超过两层，</w:t>
            </w:r>
            <w:r>
              <w:rPr>
                <w:rFonts w:ascii="宋体" w:hAnsi="宋体" w:cs="宋体"/>
                <w:color w:val="000000"/>
                <w:kern w:val="0"/>
                <w:sz w:val="18"/>
                <w:szCs w:val="18"/>
              </w:rPr>
              <w:t>50 kg</w:t>
            </w:r>
            <w:r>
              <w:rPr>
                <w:rFonts w:hint="eastAsia" w:ascii="宋体" w:hAnsi="宋体" w:cs="宋体"/>
                <w:color w:val="000000"/>
                <w:kern w:val="0"/>
                <w:sz w:val="18"/>
                <w:szCs w:val="18"/>
              </w:rPr>
              <w:t>气瓶应单层摆放</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实瓶摆放不宜超过</w:t>
            </w:r>
            <w:r>
              <w:rPr>
                <w:rFonts w:ascii="宋体" w:hAnsi="宋体" w:cs="宋体"/>
                <w:color w:val="000000"/>
                <w:kern w:val="0"/>
                <w:sz w:val="18"/>
                <w:szCs w:val="18"/>
              </w:rPr>
              <w:t>6</w:t>
            </w:r>
            <w:r>
              <w:rPr>
                <w:rFonts w:hint="eastAsia" w:ascii="宋体" w:hAnsi="宋体" w:cs="宋体"/>
                <w:color w:val="000000"/>
                <w:kern w:val="0"/>
                <w:sz w:val="18"/>
                <w:szCs w:val="18"/>
              </w:rPr>
              <w:t>排，并留有不小</w:t>
            </w:r>
          </w:p>
        </w:tc>
        <w:tc>
          <w:tcPr>
            <w:tcW w:w="2437" w:type="dxa"/>
            <w:tcBorders>
              <w:top w:val="single" w:color="auto" w:sz="8" w:space="0"/>
              <w:left w:val="single" w:color="auto" w:sz="4" w:space="0"/>
              <w:bottom w:val="single" w:color="auto" w:sz="4" w:space="0"/>
              <w:right w:val="single" w:color="auto" w:sz="4" w:space="0"/>
            </w:tcBorders>
            <w:vAlign w:val="top"/>
          </w:tcPr>
          <w:p w14:paraId="2E6BEFF7">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1.充装间内设置明显的安全警示标识。</w:t>
            </w:r>
          </w:p>
          <w:p w14:paraId="0C7EE500">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2.建立健全安全管理有关制度，明确责任及主要内容。</w:t>
            </w:r>
          </w:p>
          <w:p w14:paraId="05797154">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3.企业配备专职安全生产管理人员，并取得安全生产管理人员证书。</w:t>
            </w:r>
          </w:p>
          <w:p w14:paraId="1D60A95B">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4.作业人员取得运行、维护和抢修人员证书。</w:t>
            </w:r>
          </w:p>
          <w:p w14:paraId="55BC79F3">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5.制定岗位安全操作规程并悬挂在醒目位置，操作人员应掌握并严格执行。</w:t>
            </w:r>
          </w:p>
          <w:p w14:paraId="478CB603">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6.定期巡检、检测、维护和维修设备设施和工艺管线。</w:t>
            </w:r>
          </w:p>
          <w:p w14:paraId="48251BDD">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7</w:t>
            </w:r>
            <w:r>
              <w:rPr>
                <w:rFonts w:ascii="宋体" w:hAnsi="宋体" w:cs="宋体"/>
                <w:color w:val="000000"/>
                <w:kern w:val="0"/>
                <w:sz w:val="18"/>
                <w:szCs w:val="18"/>
              </w:rPr>
              <w:t>.对非法制造、外表损伤、腐蚀、变形、报废、超过检测周期、新投用而未置换或抽真空的钢瓶应不予充装。</w:t>
            </w:r>
          </w:p>
          <w:p w14:paraId="7AD41690">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8.充装工取得相应的</w:t>
            </w:r>
            <w:r>
              <w:rPr>
                <w:rFonts w:ascii="宋体" w:hAnsi="宋体" w:cs="宋体"/>
                <w:color w:val="000000"/>
                <w:kern w:val="0"/>
                <w:sz w:val="18"/>
                <w:szCs w:val="18"/>
              </w:rPr>
              <w:t>特种设备作业人员证</w:t>
            </w:r>
            <w:r>
              <w:rPr>
                <w:rFonts w:hint="eastAsia" w:ascii="宋体" w:hAnsi="宋体" w:cs="宋体"/>
                <w:color w:val="000000"/>
                <w:kern w:val="0"/>
                <w:sz w:val="18"/>
                <w:szCs w:val="18"/>
              </w:rPr>
              <w:t>。</w:t>
            </w:r>
          </w:p>
        </w:tc>
        <w:tc>
          <w:tcPr>
            <w:tcW w:w="1308" w:type="dxa"/>
            <w:tcBorders>
              <w:top w:val="single" w:color="auto" w:sz="8" w:space="0"/>
              <w:left w:val="single" w:color="auto" w:sz="4" w:space="0"/>
              <w:bottom w:val="single" w:color="auto" w:sz="4" w:space="0"/>
              <w:right w:val="single" w:color="auto" w:sz="4" w:space="0"/>
            </w:tcBorders>
            <w:vAlign w:val="top"/>
          </w:tcPr>
          <w:p w14:paraId="33A8BD5F">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1.新员工进行三级安全培训教育。</w:t>
            </w:r>
          </w:p>
          <w:p w14:paraId="68FB68D0">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2.定期开展人员操作技能和岗位安全操作规程培训与考核。</w:t>
            </w:r>
          </w:p>
          <w:p w14:paraId="751AD557">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3.进行机械设备点检维护知识培训。</w:t>
            </w:r>
          </w:p>
          <w:p w14:paraId="62FB1988">
            <w:pPr>
              <w:widowControl/>
              <w:adjustRightInd/>
              <w:spacing w:line="240" w:lineRule="auto"/>
              <w:jc w:val="both"/>
              <w:rPr>
                <w:rFonts w:hint="eastAsia" w:ascii="宋体" w:hAnsi="宋体" w:cs="宋体"/>
                <w:color w:val="000000"/>
                <w:kern w:val="0"/>
                <w:sz w:val="18"/>
                <w:szCs w:val="18"/>
              </w:rPr>
            </w:pPr>
            <w:r>
              <w:rPr>
                <w:rFonts w:hint="eastAsia" w:ascii="宋体" w:hAnsi="宋体" w:cs="宋体"/>
                <w:color w:val="000000"/>
                <w:kern w:val="0"/>
                <w:sz w:val="18"/>
                <w:szCs w:val="18"/>
              </w:rPr>
              <w:t>4.在员工上岗、转岗前，进行消防和应急管理培训；对在岗人员至少每半年进行一次消防和应急管理的继续教育。</w:t>
            </w:r>
          </w:p>
        </w:tc>
        <w:tc>
          <w:tcPr>
            <w:tcW w:w="689" w:type="dxa"/>
            <w:tcBorders>
              <w:top w:val="single" w:color="auto" w:sz="8" w:space="0"/>
              <w:left w:val="single" w:color="auto" w:sz="4" w:space="0"/>
              <w:bottom w:val="single" w:color="auto" w:sz="4" w:space="0"/>
              <w:right w:val="single" w:color="auto" w:sz="4" w:space="0"/>
            </w:tcBorders>
            <w:vAlign w:val="top"/>
          </w:tcPr>
          <w:p w14:paraId="2CC76E08">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防静电工作服、防砸、防静电鞋、安全帽、防护手套、防噪耳罩。</w:t>
            </w:r>
          </w:p>
          <w:p w14:paraId="316CFEAA">
            <w:pPr>
              <w:widowControl/>
              <w:adjustRightInd/>
              <w:spacing w:line="240" w:lineRule="auto"/>
              <w:jc w:val="both"/>
              <w:rPr>
                <w:rFonts w:ascii="宋体" w:hAnsi="宋体" w:cs="宋体"/>
                <w:color w:val="000000"/>
                <w:kern w:val="0"/>
                <w:sz w:val="18"/>
                <w:szCs w:val="18"/>
              </w:rPr>
            </w:pPr>
          </w:p>
        </w:tc>
        <w:tc>
          <w:tcPr>
            <w:tcW w:w="762" w:type="dxa"/>
            <w:tcBorders>
              <w:top w:val="single" w:color="auto" w:sz="8" w:space="0"/>
              <w:left w:val="single" w:color="auto" w:sz="4" w:space="0"/>
              <w:bottom w:val="single" w:color="auto" w:sz="4" w:space="0"/>
              <w:right w:val="single" w:color="auto" w:sz="4" w:space="0"/>
            </w:tcBorders>
            <w:vAlign w:val="top"/>
          </w:tcPr>
          <w:p w14:paraId="1D7159FE">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1．制定完善事故应急处置方案。</w:t>
            </w:r>
          </w:p>
          <w:p w14:paraId="400CEE60">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2.按规定开展应急演练。</w:t>
            </w:r>
          </w:p>
          <w:p w14:paraId="2D0FD523">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3.配备应急器材和物资，确保完好有效。</w:t>
            </w:r>
          </w:p>
        </w:tc>
        <w:tc>
          <w:tcPr>
            <w:tcW w:w="480" w:type="dxa"/>
            <w:tcBorders>
              <w:top w:val="single" w:color="auto" w:sz="8" w:space="0"/>
              <w:left w:val="single" w:color="auto" w:sz="4" w:space="0"/>
              <w:bottom w:val="single" w:color="auto" w:sz="4" w:space="0"/>
              <w:right w:val="single" w:color="auto" w:sz="4" w:space="0"/>
            </w:tcBorders>
            <w:vAlign w:val="center"/>
          </w:tcPr>
          <w:p w14:paraId="4F108AD8">
            <w:pPr>
              <w:widowControl/>
              <w:adjustRightInd/>
              <w:spacing w:line="240" w:lineRule="auto"/>
              <w:jc w:val="center"/>
              <w:rPr>
                <w:rFonts w:ascii="宋体" w:hAnsi="宋体" w:cs="宋体"/>
                <w:color w:val="000000"/>
                <w:kern w:val="0"/>
                <w:sz w:val="18"/>
                <w:szCs w:val="18"/>
              </w:rPr>
            </w:pPr>
          </w:p>
        </w:tc>
        <w:tc>
          <w:tcPr>
            <w:tcW w:w="626" w:type="dxa"/>
            <w:tcBorders>
              <w:top w:val="single" w:color="auto" w:sz="8" w:space="0"/>
              <w:left w:val="single" w:color="auto" w:sz="4" w:space="0"/>
              <w:bottom w:val="single" w:color="auto" w:sz="4" w:space="0"/>
            </w:tcBorders>
            <w:vAlign w:val="center"/>
          </w:tcPr>
          <w:p w14:paraId="524EE506">
            <w:pPr>
              <w:widowControl/>
              <w:adjustRightInd/>
              <w:spacing w:line="240" w:lineRule="auto"/>
              <w:jc w:val="center"/>
              <w:rPr>
                <w:rFonts w:ascii="宋体" w:hAnsi="宋体" w:cs="宋体"/>
                <w:color w:val="000000"/>
                <w:kern w:val="0"/>
                <w:sz w:val="18"/>
                <w:szCs w:val="18"/>
              </w:rPr>
            </w:pPr>
          </w:p>
        </w:tc>
      </w:tr>
    </w:tbl>
    <w:p w14:paraId="57557ECA">
      <w:pPr>
        <w:keepNext w:val="0"/>
        <w:keepLines w:val="0"/>
        <w:pageBreakBefore w:val="0"/>
        <w:widowControl/>
        <w:kinsoku/>
        <w:wordWrap/>
        <w:overflowPunct/>
        <w:topLinePunct w:val="0"/>
        <w:autoSpaceDE/>
        <w:autoSpaceDN/>
        <w:bidi w:val="0"/>
        <w:adjustRightInd/>
        <w:snapToGrid/>
        <w:spacing w:before="159" w:beforeLines="50" w:after="159" w:afterLines="50" w:line="240" w:lineRule="auto"/>
        <w:jc w:val="center"/>
        <w:textAlignment w:val="auto"/>
        <w:rPr>
          <w:rFonts w:hint="eastAsia" w:ascii="黑体" w:hAnsi="Times New Roman" w:eastAsia="黑体" w:cs="Times New Roman"/>
          <w:kern w:val="21"/>
          <w:sz w:val="21"/>
          <w:szCs w:val="20"/>
          <w:lang w:val="en-US" w:eastAsia="zh-CN" w:bidi="ar-SA"/>
        </w:rPr>
      </w:pPr>
      <w:r>
        <w:rPr>
          <w:rFonts w:hint="eastAsia" w:ascii="黑体" w:hAnsi="Times New Roman" w:eastAsia="黑体" w:cs="Times New Roman"/>
          <w:kern w:val="21"/>
          <w:sz w:val="21"/>
          <w:szCs w:val="20"/>
          <w:lang w:val="en-US" w:eastAsia="zh-CN" w:bidi="ar-SA"/>
        </w:rPr>
        <w:t>表B.2 安全风险辨识和管控清单示例(瓶装燃气经营企业)（续）</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6"/>
        <w:gridCol w:w="600"/>
        <w:gridCol w:w="624"/>
        <w:gridCol w:w="744"/>
        <w:gridCol w:w="1356"/>
        <w:gridCol w:w="624"/>
        <w:gridCol w:w="600"/>
        <w:gridCol w:w="2568"/>
        <w:gridCol w:w="2436"/>
        <w:gridCol w:w="1308"/>
        <w:gridCol w:w="708"/>
        <w:gridCol w:w="732"/>
        <w:gridCol w:w="475"/>
        <w:gridCol w:w="678"/>
      </w:tblGrid>
      <w:tr w14:paraId="257F7B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96" w:type="dxa"/>
            <w:vMerge w:val="restart"/>
            <w:tcBorders>
              <w:top w:val="single" w:color="auto" w:sz="8" w:space="0"/>
              <w:right w:val="single" w:color="auto" w:sz="4" w:space="0"/>
            </w:tcBorders>
            <w:shd w:val="clear" w:color="auto" w:fill="auto"/>
            <w:vAlign w:val="center"/>
          </w:tcPr>
          <w:p w14:paraId="4DB06545">
            <w:pPr>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序号</w:t>
            </w:r>
          </w:p>
        </w:tc>
        <w:tc>
          <w:tcPr>
            <w:tcW w:w="600" w:type="dxa"/>
            <w:vMerge w:val="restart"/>
            <w:tcBorders>
              <w:top w:val="single" w:color="auto" w:sz="8" w:space="0"/>
              <w:left w:val="single" w:color="auto" w:sz="4" w:space="0"/>
              <w:right w:val="single" w:color="auto" w:sz="4" w:space="0"/>
            </w:tcBorders>
            <w:shd w:val="clear" w:color="auto" w:fill="auto"/>
            <w:vAlign w:val="center"/>
          </w:tcPr>
          <w:p w14:paraId="744820FB">
            <w:pPr>
              <w:widowControl/>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场所/设备/环节</w:t>
            </w:r>
          </w:p>
        </w:tc>
        <w:tc>
          <w:tcPr>
            <w:tcW w:w="624" w:type="dxa"/>
            <w:vMerge w:val="restart"/>
            <w:tcBorders>
              <w:top w:val="single" w:color="auto" w:sz="8" w:space="0"/>
              <w:left w:val="single" w:color="auto" w:sz="4" w:space="0"/>
              <w:right w:val="single" w:color="auto" w:sz="4" w:space="0"/>
            </w:tcBorders>
            <w:shd w:val="clear" w:color="auto" w:fill="auto"/>
            <w:vAlign w:val="center"/>
          </w:tcPr>
          <w:p w14:paraId="1AEA8069">
            <w:pPr>
              <w:widowControl/>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危险物质/能量</w:t>
            </w:r>
          </w:p>
        </w:tc>
        <w:tc>
          <w:tcPr>
            <w:tcW w:w="744" w:type="dxa"/>
            <w:vMerge w:val="restart"/>
            <w:tcBorders>
              <w:top w:val="single" w:color="auto" w:sz="8" w:space="0"/>
              <w:left w:val="single" w:color="auto" w:sz="4" w:space="0"/>
              <w:right w:val="single" w:color="auto" w:sz="4" w:space="0"/>
            </w:tcBorders>
            <w:shd w:val="clear" w:color="auto" w:fill="auto"/>
            <w:vAlign w:val="center"/>
          </w:tcPr>
          <w:p w14:paraId="3E419265">
            <w:pPr>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风险类型</w:t>
            </w:r>
          </w:p>
        </w:tc>
        <w:tc>
          <w:tcPr>
            <w:tcW w:w="1356" w:type="dxa"/>
            <w:vMerge w:val="restart"/>
            <w:tcBorders>
              <w:top w:val="single" w:color="auto" w:sz="8" w:space="0"/>
              <w:left w:val="single" w:color="auto" w:sz="4" w:space="0"/>
              <w:right w:val="single" w:color="auto" w:sz="4" w:space="0"/>
            </w:tcBorders>
            <w:shd w:val="clear" w:color="auto" w:fill="auto"/>
            <w:vAlign w:val="center"/>
          </w:tcPr>
          <w:p w14:paraId="50275A91">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触发事件</w:t>
            </w:r>
          </w:p>
        </w:tc>
        <w:tc>
          <w:tcPr>
            <w:tcW w:w="624" w:type="dxa"/>
            <w:vMerge w:val="restart"/>
            <w:tcBorders>
              <w:top w:val="single" w:color="auto" w:sz="8" w:space="0"/>
              <w:left w:val="single" w:color="auto" w:sz="4" w:space="0"/>
              <w:right w:val="single" w:color="auto" w:sz="4" w:space="0"/>
            </w:tcBorders>
            <w:shd w:val="clear" w:color="auto" w:fill="auto"/>
            <w:vAlign w:val="center"/>
          </w:tcPr>
          <w:p w14:paraId="19F02203">
            <w:pPr>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固有风险等级</w:t>
            </w:r>
          </w:p>
        </w:tc>
        <w:tc>
          <w:tcPr>
            <w:tcW w:w="600" w:type="dxa"/>
            <w:vMerge w:val="restart"/>
            <w:tcBorders>
              <w:top w:val="single" w:color="auto" w:sz="8" w:space="0"/>
              <w:left w:val="single" w:color="auto" w:sz="4" w:space="0"/>
              <w:right w:val="single" w:color="auto" w:sz="4" w:space="0"/>
            </w:tcBorders>
            <w:shd w:val="clear" w:color="auto" w:fill="auto"/>
            <w:vAlign w:val="center"/>
          </w:tcPr>
          <w:p w14:paraId="06E74EA0">
            <w:pPr>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残余风险等级</w:t>
            </w:r>
          </w:p>
        </w:tc>
        <w:tc>
          <w:tcPr>
            <w:tcW w:w="7752" w:type="dxa"/>
            <w:gridSpan w:val="5"/>
            <w:tcBorders>
              <w:top w:val="single" w:color="auto" w:sz="8" w:space="0"/>
              <w:left w:val="single" w:color="auto" w:sz="4" w:space="0"/>
              <w:bottom w:val="single" w:color="auto" w:sz="4" w:space="0"/>
              <w:right w:val="single" w:color="auto" w:sz="4" w:space="0"/>
            </w:tcBorders>
            <w:vAlign w:val="center"/>
          </w:tcPr>
          <w:p w14:paraId="6A85CBC7">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安全风险管控措施</w:t>
            </w:r>
          </w:p>
        </w:tc>
        <w:tc>
          <w:tcPr>
            <w:tcW w:w="475" w:type="dxa"/>
            <w:vMerge w:val="restart"/>
            <w:tcBorders>
              <w:top w:val="single" w:color="auto" w:sz="8" w:space="0"/>
              <w:left w:val="single" w:color="auto" w:sz="4" w:space="0"/>
              <w:right w:val="single" w:color="auto" w:sz="4" w:space="0"/>
            </w:tcBorders>
            <w:vAlign w:val="center"/>
          </w:tcPr>
          <w:p w14:paraId="66C7D425">
            <w:pPr>
              <w:adjustRightInd/>
              <w:spacing w:line="240" w:lineRule="auto"/>
              <w:jc w:val="center"/>
              <w:rPr>
                <w:rFonts w:ascii="宋体" w:hAnsi="宋体" w:cs="宋体"/>
                <w:color w:val="000000"/>
                <w:kern w:val="0"/>
                <w:sz w:val="18"/>
                <w:szCs w:val="18"/>
              </w:rPr>
            </w:pPr>
            <w:r>
              <w:rPr>
                <w:rFonts w:hint="eastAsia" w:ascii="宋体" w:hAnsi="宋体" w:cs="宋体"/>
                <w:sz w:val="18"/>
                <w:szCs w:val="20"/>
              </w:rPr>
              <w:t>管控层级</w:t>
            </w:r>
          </w:p>
        </w:tc>
        <w:tc>
          <w:tcPr>
            <w:tcW w:w="678" w:type="dxa"/>
            <w:vMerge w:val="restart"/>
            <w:tcBorders>
              <w:top w:val="single" w:color="auto" w:sz="8" w:space="0"/>
              <w:left w:val="single" w:color="auto" w:sz="4" w:space="0"/>
            </w:tcBorders>
            <w:vAlign w:val="center"/>
          </w:tcPr>
          <w:p w14:paraId="41A8368E">
            <w:pPr>
              <w:adjustRightInd/>
              <w:spacing w:line="240" w:lineRule="auto"/>
              <w:jc w:val="center"/>
              <w:rPr>
                <w:rFonts w:ascii="宋体" w:hAnsi="宋体" w:cs="宋体"/>
                <w:color w:val="000000"/>
                <w:kern w:val="0"/>
                <w:sz w:val="18"/>
                <w:szCs w:val="18"/>
              </w:rPr>
            </w:pPr>
            <w:r>
              <w:rPr>
                <w:rFonts w:hint="eastAsia" w:ascii="宋体" w:hAnsi="宋体" w:cs="宋体"/>
                <w:sz w:val="18"/>
                <w:szCs w:val="20"/>
              </w:rPr>
              <w:t>责任部门/责任人</w:t>
            </w:r>
          </w:p>
        </w:tc>
      </w:tr>
      <w:tr w14:paraId="158487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96" w:type="dxa"/>
            <w:vMerge w:val="continue"/>
            <w:tcBorders>
              <w:bottom w:val="single" w:color="auto" w:sz="4" w:space="0"/>
              <w:right w:val="single" w:color="auto" w:sz="4" w:space="0"/>
            </w:tcBorders>
            <w:shd w:val="clear" w:color="auto" w:fill="auto"/>
            <w:vAlign w:val="center"/>
          </w:tcPr>
          <w:p w14:paraId="6EB0D146">
            <w:pPr>
              <w:widowControl/>
              <w:adjustRightInd/>
              <w:spacing w:line="240" w:lineRule="auto"/>
              <w:jc w:val="left"/>
            </w:pPr>
          </w:p>
        </w:tc>
        <w:tc>
          <w:tcPr>
            <w:tcW w:w="600" w:type="dxa"/>
            <w:vMerge w:val="continue"/>
            <w:tcBorders>
              <w:left w:val="single" w:color="auto" w:sz="4" w:space="0"/>
              <w:bottom w:val="single" w:color="auto" w:sz="4" w:space="0"/>
              <w:right w:val="single" w:color="auto" w:sz="4" w:space="0"/>
            </w:tcBorders>
            <w:shd w:val="clear" w:color="auto" w:fill="auto"/>
            <w:vAlign w:val="center"/>
          </w:tcPr>
          <w:p w14:paraId="421AB68F">
            <w:pPr>
              <w:widowControl/>
              <w:adjustRightInd/>
              <w:spacing w:line="240" w:lineRule="auto"/>
              <w:jc w:val="left"/>
            </w:pPr>
          </w:p>
        </w:tc>
        <w:tc>
          <w:tcPr>
            <w:tcW w:w="624" w:type="dxa"/>
            <w:vMerge w:val="continue"/>
            <w:tcBorders>
              <w:left w:val="single" w:color="auto" w:sz="4" w:space="0"/>
              <w:bottom w:val="single" w:color="auto" w:sz="4" w:space="0"/>
              <w:right w:val="single" w:color="auto" w:sz="4" w:space="0"/>
            </w:tcBorders>
            <w:shd w:val="clear" w:color="auto" w:fill="auto"/>
            <w:vAlign w:val="center"/>
          </w:tcPr>
          <w:p w14:paraId="5DAA3622">
            <w:pPr>
              <w:widowControl/>
              <w:adjustRightInd/>
              <w:spacing w:line="240" w:lineRule="auto"/>
              <w:jc w:val="left"/>
            </w:pPr>
          </w:p>
        </w:tc>
        <w:tc>
          <w:tcPr>
            <w:tcW w:w="744" w:type="dxa"/>
            <w:vMerge w:val="continue"/>
            <w:tcBorders>
              <w:left w:val="single" w:color="auto" w:sz="4" w:space="0"/>
              <w:bottom w:val="single" w:color="auto" w:sz="4" w:space="0"/>
              <w:right w:val="single" w:color="auto" w:sz="4" w:space="0"/>
            </w:tcBorders>
            <w:shd w:val="clear" w:color="auto" w:fill="auto"/>
            <w:vAlign w:val="center"/>
          </w:tcPr>
          <w:p w14:paraId="30CEC23D">
            <w:pPr>
              <w:widowControl/>
              <w:adjustRightInd/>
              <w:spacing w:line="240" w:lineRule="auto"/>
              <w:jc w:val="left"/>
            </w:pPr>
          </w:p>
        </w:tc>
        <w:tc>
          <w:tcPr>
            <w:tcW w:w="1356" w:type="dxa"/>
            <w:vMerge w:val="continue"/>
            <w:tcBorders>
              <w:left w:val="single" w:color="auto" w:sz="4" w:space="0"/>
              <w:bottom w:val="single" w:color="auto" w:sz="4" w:space="0"/>
              <w:right w:val="single" w:color="auto" w:sz="4" w:space="0"/>
            </w:tcBorders>
            <w:shd w:val="clear" w:color="auto" w:fill="auto"/>
            <w:vAlign w:val="center"/>
          </w:tcPr>
          <w:p w14:paraId="2CE1AC17">
            <w:pPr>
              <w:widowControl/>
              <w:adjustRightInd/>
              <w:spacing w:line="240" w:lineRule="auto"/>
              <w:jc w:val="left"/>
            </w:pPr>
          </w:p>
        </w:tc>
        <w:tc>
          <w:tcPr>
            <w:tcW w:w="624" w:type="dxa"/>
            <w:vMerge w:val="continue"/>
            <w:tcBorders>
              <w:left w:val="single" w:color="auto" w:sz="4" w:space="0"/>
              <w:bottom w:val="single" w:color="auto" w:sz="4" w:space="0"/>
              <w:right w:val="single" w:color="auto" w:sz="4" w:space="0"/>
            </w:tcBorders>
            <w:shd w:val="clear" w:color="auto" w:fill="auto"/>
            <w:vAlign w:val="center"/>
          </w:tcPr>
          <w:p w14:paraId="307C574F">
            <w:pPr>
              <w:widowControl/>
              <w:adjustRightInd/>
              <w:spacing w:line="240" w:lineRule="auto"/>
              <w:jc w:val="left"/>
            </w:pPr>
          </w:p>
        </w:tc>
        <w:tc>
          <w:tcPr>
            <w:tcW w:w="600" w:type="dxa"/>
            <w:vMerge w:val="continue"/>
            <w:tcBorders>
              <w:left w:val="single" w:color="auto" w:sz="4" w:space="0"/>
              <w:bottom w:val="single" w:color="auto" w:sz="4" w:space="0"/>
              <w:right w:val="single" w:color="auto" w:sz="4" w:space="0"/>
            </w:tcBorders>
            <w:shd w:val="clear" w:color="auto" w:fill="auto"/>
            <w:vAlign w:val="center"/>
          </w:tcPr>
          <w:p w14:paraId="5FBFA1BA">
            <w:pPr>
              <w:widowControl/>
              <w:adjustRightInd/>
              <w:spacing w:line="240" w:lineRule="auto"/>
              <w:jc w:val="left"/>
            </w:pPr>
          </w:p>
        </w:tc>
        <w:tc>
          <w:tcPr>
            <w:tcW w:w="2568" w:type="dxa"/>
            <w:tcBorders>
              <w:top w:val="single" w:color="auto" w:sz="8" w:space="0"/>
              <w:left w:val="single" w:color="auto" w:sz="4" w:space="0"/>
              <w:bottom w:val="single" w:color="auto" w:sz="4" w:space="0"/>
              <w:right w:val="single" w:color="auto" w:sz="4" w:space="0"/>
            </w:tcBorders>
            <w:vAlign w:val="center"/>
          </w:tcPr>
          <w:p w14:paraId="5AB1E52E">
            <w:pPr>
              <w:adjustRightInd/>
              <w:spacing w:line="240" w:lineRule="auto"/>
              <w:jc w:val="center"/>
              <w:rPr>
                <w:rFonts w:ascii="宋体" w:hAnsi="宋体" w:cs="宋体"/>
                <w:sz w:val="18"/>
                <w:szCs w:val="18"/>
              </w:rPr>
            </w:pPr>
            <w:r>
              <w:rPr>
                <w:rFonts w:hint="eastAsia" w:ascii="宋体" w:hAnsi="宋体" w:cs="宋体"/>
                <w:sz w:val="18"/>
                <w:szCs w:val="18"/>
              </w:rPr>
              <w:t>工程</w:t>
            </w:r>
          </w:p>
          <w:p w14:paraId="27D1C194">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技术</w:t>
            </w:r>
          </w:p>
        </w:tc>
        <w:tc>
          <w:tcPr>
            <w:tcW w:w="2436" w:type="dxa"/>
            <w:tcBorders>
              <w:top w:val="single" w:color="auto" w:sz="8" w:space="0"/>
              <w:left w:val="single" w:color="auto" w:sz="4" w:space="0"/>
              <w:bottom w:val="single" w:color="auto" w:sz="4" w:space="0"/>
              <w:right w:val="single" w:color="auto" w:sz="4" w:space="0"/>
            </w:tcBorders>
            <w:vAlign w:val="center"/>
          </w:tcPr>
          <w:p w14:paraId="59CD518D">
            <w:pPr>
              <w:adjustRightInd/>
              <w:spacing w:line="240" w:lineRule="auto"/>
              <w:jc w:val="center"/>
              <w:rPr>
                <w:rFonts w:ascii="宋体" w:hAnsi="宋体" w:cs="宋体"/>
                <w:sz w:val="18"/>
                <w:szCs w:val="18"/>
              </w:rPr>
            </w:pPr>
            <w:r>
              <w:rPr>
                <w:rFonts w:hint="eastAsia" w:ascii="宋体" w:hAnsi="宋体" w:cs="宋体"/>
                <w:sz w:val="18"/>
                <w:szCs w:val="18"/>
              </w:rPr>
              <w:t>安全</w:t>
            </w:r>
          </w:p>
          <w:p w14:paraId="5BEDB70E">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管理</w:t>
            </w:r>
          </w:p>
        </w:tc>
        <w:tc>
          <w:tcPr>
            <w:tcW w:w="1308" w:type="dxa"/>
            <w:tcBorders>
              <w:top w:val="single" w:color="auto" w:sz="8" w:space="0"/>
              <w:left w:val="single" w:color="auto" w:sz="4" w:space="0"/>
              <w:bottom w:val="single" w:color="auto" w:sz="4" w:space="0"/>
              <w:right w:val="single" w:color="auto" w:sz="4" w:space="0"/>
            </w:tcBorders>
            <w:vAlign w:val="center"/>
          </w:tcPr>
          <w:p w14:paraId="62AFCF3D">
            <w:pPr>
              <w:adjustRightInd/>
              <w:spacing w:line="240" w:lineRule="auto"/>
              <w:jc w:val="center"/>
              <w:rPr>
                <w:rFonts w:ascii="宋体" w:hAnsi="宋体" w:cs="宋体"/>
                <w:sz w:val="18"/>
                <w:szCs w:val="18"/>
              </w:rPr>
            </w:pPr>
            <w:r>
              <w:rPr>
                <w:rFonts w:hint="eastAsia" w:ascii="宋体" w:hAnsi="宋体" w:cs="宋体"/>
                <w:sz w:val="18"/>
                <w:szCs w:val="18"/>
              </w:rPr>
              <w:t>培训</w:t>
            </w:r>
          </w:p>
          <w:p w14:paraId="10A49414">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教育</w:t>
            </w:r>
          </w:p>
        </w:tc>
        <w:tc>
          <w:tcPr>
            <w:tcW w:w="708" w:type="dxa"/>
            <w:tcBorders>
              <w:top w:val="single" w:color="auto" w:sz="8" w:space="0"/>
              <w:left w:val="single" w:color="auto" w:sz="4" w:space="0"/>
              <w:bottom w:val="single" w:color="auto" w:sz="4" w:space="0"/>
              <w:right w:val="single" w:color="auto" w:sz="4" w:space="0"/>
            </w:tcBorders>
            <w:vAlign w:val="center"/>
          </w:tcPr>
          <w:p w14:paraId="0A88A664">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个体防护</w:t>
            </w:r>
          </w:p>
        </w:tc>
        <w:tc>
          <w:tcPr>
            <w:tcW w:w="732" w:type="dxa"/>
            <w:tcBorders>
              <w:top w:val="single" w:color="auto" w:sz="8" w:space="0"/>
              <w:left w:val="single" w:color="auto" w:sz="4" w:space="0"/>
              <w:bottom w:val="single" w:color="auto" w:sz="4" w:space="0"/>
              <w:right w:val="single" w:color="auto" w:sz="4" w:space="0"/>
            </w:tcBorders>
            <w:vAlign w:val="center"/>
          </w:tcPr>
          <w:p w14:paraId="2DE4E67E">
            <w:pPr>
              <w:adjustRightInd/>
              <w:spacing w:line="240" w:lineRule="auto"/>
              <w:jc w:val="center"/>
              <w:rPr>
                <w:rFonts w:hint="eastAsia" w:ascii="宋体" w:hAnsi="宋体" w:cs="宋体"/>
                <w:sz w:val="18"/>
                <w:szCs w:val="18"/>
              </w:rPr>
            </w:pPr>
            <w:r>
              <w:rPr>
                <w:rFonts w:hint="eastAsia" w:ascii="宋体" w:hAnsi="宋体" w:cs="宋体"/>
                <w:sz w:val="18"/>
                <w:szCs w:val="18"/>
              </w:rPr>
              <w:t>应急</w:t>
            </w:r>
          </w:p>
          <w:p w14:paraId="3C62D3EF">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处置</w:t>
            </w:r>
          </w:p>
        </w:tc>
        <w:tc>
          <w:tcPr>
            <w:tcW w:w="475" w:type="dxa"/>
            <w:vMerge w:val="continue"/>
            <w:tcBorders>
              <w:left w:val="single" w:color="auto" w:sz="4" w:space="0"/>
              <w:bottom w:val="single" w:color="auto" w:sz="4" w:space="0"/>
              <w:right w:val="single" w:color="auto" w:sz="4" w:space="0"/>
            </w:tcBorders>
            <w:vAlign w:val="center"/>
          </w:tcPr>
          <w:p w14:paraId="1E26DE49">
            <w:pPr>
              <w:widowControl/>
              <w:adjustRightInd/>
              <w:spacing w:line="240" w:lineRule="auto"/>
              <w:jc w:val="left"/>
              <w:rPr>
                <w:rFonts w:hint="eastAsia" w:ascii="宋体" w:hAnsi="宋体" w:cs="宋体"/>
                <w:color w:val="000000"/>
                <w:kern w:val="0"/>
                <w:sz w:val="18"/>
                <w:szCs w:val="18"/>
              </w:rPr>
            </w:pPr>
          </w:p>
        </w:tc>
        <w:tc>
          <w:tcPr>
            <w:tcW w:w="678" w:type="dxa"/>
            <w:vMerge w:val="continue"/>
            <w:tcBorders>
              <w:left w:val="single" w:color="auto" w:sz="4" w:space="0"/>
              <w:bottom w:val="single" w:color="auto" w:sz="4" w:space="0"/>
            </w:tcBorders>
            <w:vAlign w:val="center"/>
          </w:tcPr>
          <w:p w14:paraId="31D528D7">
            <w:pPr>
              <w:widowControl/>
              <w:adjustRightInd/>
              <w:spacing w:line="240" w:lineRule="auto"/>
              <w:jc w:val="left"/>
              <w:rPr>
                <w:rFonts w:hint="eastAsia" w:ascii="宋体" w:hAnsi="宋体" w:cs="宋体"/>
                <w:color w:val="000000"/>
                <w:kern w:val="0"/>
                <w:sz w:val="18"/>
                <w:szCs w:val="18"/>
              </w:rPr>
            </w:pPr>
          </w:p>
        </w:tc>
      </w:tr>
      <w:tr w14:paraId="509DB2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8" w:space="0"/>
              <w:bottom w:val="single" w:color="auto" w:sz="4" w:space="0"/>
              <w:right w:val="single" w:color="auto" w:sz="4" w:space="0"/>
            </w:tcBorders>
            <w:shd w:val="clear" w:color="auto" w:fill="auto"/>
            <w:vAlign w:val="center"/>
          </w:tcPr>
          <w:p w14:paraId="63302AC6">
            <w:pPr>
              <w:widowControl/>
              <w:adjustRightInd/>
              <w:spacing w:line="240" w:lineRule="auto"/>
              <w:jc w:val="center"/>
              <w:rPr>
                <w:rFonts w:hint="eastAsia" w:ascii="宋体" w:hAnsi="宋体" w:cs="宋体"/>
                <w:color w:val="000000"/>
                <w:kern w:val="0"/>
                <w:sz w:val="18"/>
                <w:szCs w:val="18"/>
              </w:rPr>
            </w:pPr>
          </w:p>
        </w:tc>
        <w:tc>
          <w:tcPr>
            <w:tcW w:w="600" w:type="dxa"/>
            <w:tcBorders>
              <w:top w:val="single" w:color="auto" w:sz="8" w:space="0"/>
              <w:left w:val="single" w:color="auto" w:sz="4" w:space="0"/>
              <w:bottom w:val="single" w:color="auto" w:sz="4" w:space="0"/>
              <w:right w:val="single" w:color="auto" w:sz="4" w:space="0"/>
            </w:tcBorders>
            <w:shd w:val="clear" w:color="auto" w:fill="auto"/>
            <w:vAlign w:val="center"/>
          </w:tcPr>
          <w:p w14:paraId="1F1FA28F">
            <w:pPr>
              <w:widowControl/>
              <w:adjustRightInd/>
              <w:spacing w:line="240" w:lineRule="auto"/>
              <w:jc w:val="center"/>
              <w:rPr>
                <w:rFonts w:hint="eastAsia" w:ascii="宋体" w:hAnsi="宋体" w:cs="宋体"/>
                <w:color w:val="000000"/>
                <w:kern w:val="0"/>
                <w:sz w:val="18"/>
                <w:szCs w:val="18"/>
              </w:rPr>
            </w:pPr>
          </w:p>
        </w:tc>
        <w:tc>
          <w:tcPr>
            <w:tcW w:w="624" w:type="dxa"/>
            <w:tcBorders>
              <w:top w:val="single" w:color="auto" w:sz="8" w:space="0"/>
              <w:left w:val="single" w:color="auto" w:sz="4" w:space="0"/>
              <w:bottom w:val="single" w:color="auto" w:sz="4" w:space="0"/>
              <w:right w:val="single" w:color="auto" w:sz="4" w:space="0"/>
            </w:tcBorders>
            <w:shd w:val="clear" w:color="auto" w:fill="auto"/>
            <w:vAlign w:val="center"/>
          </w:tcPr>
          <w:p w14:paraId="6F4DE1F5">
            <w:pPr>
              <w:widowControl/>
              <w:adjustRightInd/>
              <w:spacing w:line="240" w:lineRule="auto"/>
              <w:jc w:val="center"/>
              <w:rPr>
                <w:rFonts w:hint="eastAsia" w:ascii="宋体" w:hAnsi="宋体" w:cs="宋体"/>
                <w:color w:val="000000"/>
                <w:kern w:val="0"/>
                <w:sz w:val="18"/>
                <w:szCs w:val="18"/>
              </w:rPr>
            </w:pPr>
          </w:p>
        </w:tc>
        <w:tc>
          <w:tcPr>
            <w:tcW w:w="744" w:type="dxa"/>
            <w:tcBorders>
              <w:top w:val="single" w:color="auto" w:sz="8" w:space="0"/>
              <w:left w:val="single" w:color="auto" w:sz="4" w:space="0"/>
              <w:bottom w:val="single" w:color="auto" w:sz="4" w:space="0"/>
              <w:right w:val="single" w:color="auto" w:sz="4" w:space="0"/>
            </w:tcBorders>
            <w:shd w:val="clear" w:color="auto" w:fill="auto"/>
            <w:vAlign w:val="center"/>
          </w:tcPr>
          <w:p w14:paraId="4029E41D">
            <w:pPr>
              <w:widowControl/>
              <w:adjustRightInd/>
              <w:spacing w:line="240" w:lineRule="auto"/>
              <w:jc w:val="center"/>
              <w:rPr>
                <w:rFonts w:hint="eastAsia" w:ascii="宋体" w:hAnsi="宋体" w:cs="宋体"/>
                <w:color w:val="000000"/>
                <w:kern w:val="0"/>
                <w:sz w:val="18"/>
                <w:szCs w:val="18"/>
              </w:rPr>
            </w:pPr>
          </w:p>
        </w:tc>
        <w:tc>
          <w:tcPr>
            <w:tcW w:w="1356" w:type="dxa"/>
            <w:tcBorders>
              <w:top w:val="single" w:color="auto" w:sz="8" w:space="0"/>
              <w:left w:val="single" w:color="auto" w:sz="4" w:space="0"/>
              <w:bottom w:val="single" w:color="auto" w:sz="4" w:space="0"/>
              <w:right w:val="single" w:color="auto" w:sz="4" w:space="0"/>
            </w:tcBorders>
            <w:shd w:val="clear" w:color="auto" w:fill="auto"/>
            <w:vAlign w:val="center"/>
          </w:tcPr>
          <w:p w14:paraId="398563C5">
            <w:pPr>
              <w:widowControl/>
              <w:adjustRightInd/>
              <w:spacing w:line="240" w:lineRule="auto"/>
              <w:rPr>
                <w:rFonts w:hint="eastAsia" w:ascii="宋体" w:hAnsi="宋体" w:cs="宋体"/>
                <w:color w:val="000000"/>
                <w:kern w:val="0"/>
                <w:sz w:val="18"/>
                <w:szCs w:val="18"/>
              </w:rPr>
            </w:pPr>
          </w:p>
        </w:tc>
        <w:tc>
          <w:tcPr>
            <w:tcW w:w="624" w:type="dxa"/>
            <w:tcBorders>
              <w:top w:val="single" w:color="auto" w:sz="8" w:space="0"/>
              <w:left w:val="single" w:color="auto" w:sz="4" w:space="0"/>
              <w:bottom w:val="single" w:color="auto" w:sz="4" w:space="0"/>
              <w:right w:val="single" w:color="auto" w:sz="4" w:space="0"/>
            </w:tcBorders>
            <w:shd w:val="clear" w:color="auto" w:fill="FFC000"/>
            <w:vAlign w:val="center"/>
          </w:tcPr>
          <w:p w14:paraId="7DC92A5F">
            <w:pPr>
              <w:widowControl/>
              <w:adjustRightInd/>
              <w:spacing w:line="240" w:lineRule="auto"/>
              <w:jc w:val="center"/>
              <w:rPr>
                <w:rFonts w:hint="eastAsia" w:ascii="宋体" w:hAnsi="宋体" w:cs="宋体"/>
                <w:color w:val="000000"/>
                <w:kern w:val="0"/>
                <w:sz w:val="18"/>
                <w:szCs w:val="18"/>
              </w:rPr>
            </w:pPr>
          </w:p>
        </w:tc>
        <w:tc>
          <w:tcPr>
            <w:tcW w:w="600" w:type="dxa"/>
            <w:tcBorders>
              <w:top w:val="single" w:color="auto" w:sz="8" w:space="0"/>
              <w:left w:val="single" w:color="auto" w:sz="4" w:space="0"/>
              <w:bottom w:val="single" w:color="auto" w:sz="4" w:space="0"/>
              <w:right w:val="single" w:color="auto" w:sz="4" w:space="0"/>
            </w:tcBorders>
            <w:shd w:val="clear" w:color="auto" w:fill="FFFF00"/>
            <w:vAlign w:val="center"/>
          </w:tcPr>
          <w:p w14:paraId="413A51E6">
            <w:pPr>
              <w:widowControl/>
              <w:adjustRightInd/>
              <w:spacing w:line="240" w:lineRule="auto"/>
              <w:jc w:val="center"/>
              <w:rPr>
                <w:rFonts w:hint="eastAsia" w:ascii="宋体" w:hAnsi="宋体" w:cs="宋体"/>
                <w:color w:val="000000"/>
                <w:kern w:val="0"/>
                <w:sz w:val="18"/>
                <w:szCs w:val="18"/>
              </w:rPr>
            </w:pPr>
          </w:p>
        </w:tc>
        <w:tc>
          <w:tcPr>
            <w:tcW w:w="2568" w:type="dxa"/>
            <w:tcBorders>
              <w:top w:val="single" w:color="auto" w:sz="8" w:space="0"/>
              <w:left w:val="single" w:color="auto" w:sz="4" w:space="0"/>
              <w:bottom w:val="single" w:color="auto" w:sz="4" w:space="0"/>
              <w:right w:val="single" w:color="auto" w:sz="4" w:space="0"/>
            </w:tcBorders>
            <w:vAlign w:val="top"/>
          </w:tcPr>
          <w:p w14:paraId="24671A7A">
            <w:pPr>
              <w:widowControl/>
              <w:adjustRightInd/>
              <w:spacing w:line="24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于8</w:t>
            </w:r>
            <w:r>
              <w:rPr>
                <w:rFonts w:ascii="宋体" w:hAnsi="宋体" w:cs="宋体"/>
                <w:color w:val="000000"/>
                <w:kern w:val="0"/>
                <w:sz w:val="18"/>
                <w:szCs w:val="18"/>
              </w:rPr>
              <w:t>00</w:t>
            </w:r>
            <w:r>
              <w:rPr>
                <w:rFonts w:hint="eastAsia" w:ascii="宋体" w:hAnsi="宋体" w:cs="宋体"/>
                <w:color w:val="000000"/>
                <w:kern w:val="0"/>
                <w:sz w:val="18"/>
                <w:szCs w:val="18"/>
              </w:rPr>
              <w:t xml:space="preserve"> </w:t>
            </w:r>
            <w:r>
              <w:rPr>
                <w:rFonts w:ascii="宋体" w:hAnsi="宋体" w:cs="宋体"/>
                <w:color w:val="000000"/>
                <w:kern w:val="0"/>
                <w:sz w:val="18"/>
                <w:szCs w:val="18"/>
              </w:rPr>
              <w:t>mm</w:t>
            </w:r>
            <w:r>
              <w:rPr>
                <w:rFonts w:hint="eastAsia" w:ascii="宋体" w:hAnsi="宋体" w:cs="宋体"/>
                <w:color w:val="000000"/>
                <w:kern w:val="0"/>
                <w:sz w:val="18"/>
                <w:szCs w:val="18"/>
              </w:rPr>
              <w:t>的通道。</w:t>
            </w:r>
          </w:p>
          <w:p w14:paraId="634E4F36">
            <w:pPr>
              <w:widowControl/>
              <w:adjustRightInd/>
              <w:spacing w:line="24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7.采用防爆电气，且接地良好。</w:t>
            </w:r>
          </w:p>
          <w:p w14:paraId="5AE0DFBF">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8.按规定配备灭火设备。</w:t>
            </w:r>
          </w:p>
          <w:p w14:paraId="2F6D1375">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9.设置火灾应急照明。</w:t>
            </w:r>
          </w:p>
          <w:p w14:paraId="5A9430B6">
            <w:pPr>
              <w:widowControl/>
              <w:adjustRightInd/>
              <w:spacing w:line="24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10.进气管道设有压力表。</w:t>
            </w:r>
          </w:p>
        </w:tc>
        <w:tc>
          <w:tcPr>
            <w:tcW w:w="2436" w:type="dxa"/>
            <w:tcBorders>
              <w:top w:val="single" w:color="auto" w:sz="8" w:space="0"/>
              <w:left w:val="single" w:color="auto" w:sz="4" w:space="0"/>
              <w:bottom w:val="single" w:color="auto" w:sz="4" w:space="0"/>
              <w:right w:val="single" w:color="auto" w:sz="4" w:space="0"/>
            </w:tcBorders>
            <w:vAlign w:val="top"/>
          </w:tcPr>
          <w:p w14:paraId="05D2E3C5">
            <w:pPr>
              <w:widowControl/>
              <w:adjustRightInd/>
              <w:spacing w:line="240" w:lineRule="auto"/>
              <w:jc w:val="left"/>
              <w:rPr>
                <w:rFonts w:hint="eastAsia" w:ascii="宋体" w:hAnsi="宋体" w:cs="宋体"/>
                <w:color w:val="000000"/>
                <w:kern w:val="0"/>
                <w:sz w:val="18"/>
                <w:szCs w:val="18"/>
              </w:rPr>
            </w:pPr>
          </w:p>
        </w:tc>
        <w:tc>
          <w:tcPr>
            <w:tcW w:w="1308" w:type="dxa"/>
            <w:tcBorders>
              <w:top w:val="single" w:color="auto" w:sz="8" w:space="0"/>
              <w:left w:val="single" w:color="auto" w:sz="4" w:space="0"/>
              <w:bottom w:val="single" w:color="auto" w:sz="4" w:space="0"/>
              <w:right w:val="single" w:color="auto" w:sz="4" w:space="0"/>
            </w:tcBorders>
            <w:vAlign w:val="top"/>
          </w:tcPr>
          <w:p w14:paraId="1E06E7B5">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5.掌握消防设施器材使用方法和逃生自救技能。</w:t>
            </w:r>
          </w:p>
          <w:p w14:paraId="733A52F6">
            <w:pPr>
              <w:widowControl/>
              <w:adjustRightInd/>
              <w:spacing w:line="24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6.对外来人员进行安全告知。</w:t>
            </w:r>
          </w:p>
        </w:tc>
        <w:tc>
          <w:tcPr>
            <w:tcW w:w="708" w:type="dxa"/>
            <w:tcBorders>
              <w:top w:val="single" w:color="auto" w:sz="8" w:space="0"/>
              <w:left w:val="single" w:color="auto" w:sz="4" w:space="0"/>
              <w:bottom w:val="single" w:color="auto" w:sz="4" w:space="0"/>
              <w:right w:val="single" w:color="auto" w:sz="4" w:space="0"/>
            </w:tcBorders>
            <w:vAlign w:val="top"/>
          </w:tcPr>
          <w:p w14:paraId="095E3EB0">
            <w:pPr>
              <w:widowControl/>
              <w:adjustRightInd/>
              <w:spacing w:line="240" w:lineRule="auto"/>
              <w:jc w:val="left"/>
              <w:rPr>
                <w:rFonts w:ascii="宋体" w:hAnsi="宋体" w:cs="宋体"/>
                <w:color w:val="000000"/>
                <w:kern w:val="0"/>
                <w:sz w:val="18"/>
                <w:szCs w:val="18"/>
              </w:rPr>
            </w:pPr>
          </w:p>
        </w:tc>
        <w:tc>
          <w:tcPr>
            <w:tcW w:w="732" w:type="dxa"/>
            <w:tcBorders>
              <w:top w:val="single" w:color="auto" w:sz="8" w:space="0"/>
              <w:left w:val="single" w:color="auto" w:sz="4" w:space="0"/>
              <w:bottom w:val="single" w:color="auto" w:sz="4" w:space="0"/>
              <w:right w:val="single" w:color="auto" w:sz="4" w:space="0"/>
            </w:tcBorders>
            <w:vAlign w:val="top"/>
          </w:tcPr>
          <w:p w14:paraId="382EA4F9">
            <w:pPr>
              <w:widowControl/>
              <w:adjustRightInd/>
              <w:spacing w:line="240" w:lineRule="auto"/>
              <w:jc w:val="left"/>
              <w:rPr>
                <w:rFonts w:hint="eastAsia" w:ascii="宋体" w:hAnsi="宋体" w:cs="宋体"/>
                <w:color w:val="000000"/>
                <w:kern w:val="0"/>
                <w:sz w:val="18"/>
                <w:szCs w:val="18"/>
              </w:rPr>
            </w:pPr>
          </w:p>
        </w:tc>
        <w:tc>
          <w:tcPr>
            <w:tcW w:w="475" w:type="dxa"/>
            <w:tcBorders>
              <w:top w:val="single" w:color="auto" w:sz="8" w:space="0"/>
              <w:left w:val="single" w:color="auto" w:sz="4" w:space="0"/>
              <w:bottom w:val="single" w:color="auto" w:sz="4" w:space="0"/>
              <w:right w:val="single" w:color="auto" w:sz="4" w:space="0"/>
            </w:tcBorders>
            <w:vAlign w:val="center"/>
          </w:tcPr>
          <w:p w14:paraId="39BC2E3B">
            <w:pPr>
              <w:widowControl/>
              <w:adjustRightInd/>
              <w:spacing w:line="240" w:lineRule="auto"/>
              <w:jc w:val="center"/>
              <w:rPr>
                <w:rFonts w:ascii="宋体" w:hAnsi="宋体" w:cs="宋体"/>
                <w:color w:val="000000"/>
                <w:kern w:val="0"/>
                <w:sz w:val="18"/>
                <w:szCs w:val="18"/>
              </w:rPr>
            </w:pPr>
          </w:p>
        </w:tc>
        <w:tc>
          <w:tcPr>
            <w:tcW w:w="678" w:type="dxa"/>
            <w:tcBorders>
              <w:top w:val="single" w:color="auto" w:sz="8" w:space="0"/>
              <w:left w:val="single" w:color="auto" w:sz="4" w:space="0"/>
              <w:bottom w:val="single" w:color="auto" w:sz="4" w:space="0"/>
            </w:tcBorders>
            <w:vAlign w:val="center"/>
          </w:tcPr>
          <w:p w14:paraId="4A3D194B">
            <w:pPr>
              <w:widowControl/>
              <w:adjustRightInd/>
              <w:spacing w:line="240" w:lineRule="auto"/>
              <w:jc w:val="center"/>
              <w:rPr>
                <w:rFonts w:ascii="宋体" w:hAnsi="宋体" w:cs="宋体"/>
                <w:color w:val="000000"/>
                <w:kern w:val="0"/>
                <w:sz w:val="18"/>
                <w:szCs w:val="18"/>
              </w:rPr>
            </w:pPr>
          </w:p>
        </w:tc>
      </w:tr>
      <w:tr w14:paraId="2F426B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bottom w:val="single" w:color="auto" w:sz="8" w:space="0"/>
              <w:right w:val="single" w:color="auto" w:sz="4" w:space="0"/>
            </w:tcBorders>
            <w:vAlign w:val="center"/>
          </w:tcPr>
          <w:p w14:paraId="014602D1">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single" w:color="auto" w:sz="4" w:space="0"/>
              <w:bottom w:val="single" w:color="auto" w:sz="8" w:space="0"/>
              <w:right w:val="single" w:color="auto" w:sz="4" w:space="0"/>
            </w:tcBorders>
            <w:vAlign w:val="center"/>
          </w:tcPr>
          <w:p w14:paraId="33562DE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24" w:type="dxa"/>
            <w:tcBorders>
              <w:top w:val="single" w:color="auto" w:sz="4" w:space="0"/>
              <w:left w:val="single" w:color="auto" w:sz="4" w:space="0"/>
              <w:bottom w:val="single" w:color="auto" w:sz="8" w:space="0"/>
              <w:right w:val="single" w:color="auto" w:sz="4" w:space="0"/>
            </w:tcBorders>
            <w:vAlign w:val="center"/>
          </w:tcPr>
          <w:p w14:paraId="42DE712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44" w:type="dxa"/>
            <w:tcBorders>
              <w:top w:val="single" w:color="auto" w:sz="4" w:space="0"/>
              <w:left w:val="single" w:color="auto" w:sz="4" w:space="0"/>
              <w:bottom w:val="single" w:color="auto" w:sz="8" w:space="0"/>
              <w:right w:val="single" w:color="auto" w:sz="4" w:space="0"/>
            </w:tcBorders>
            <w:vAlign w:val="center"/>
          </w:tcPr>
          <w:p w14:paraId="5C14FFC7">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56" w:type="dxa"/>
            <w:tcBorders>
              <w:top w:val="single" w:color="auto" w:sz="4" w:space="0"/>
              <w:left w:val="single" w:color="auto" w:sz="4" w:space="0"/>
              <w:bottom w:val="single" w:color="auto" w:sz="8" w:space="0"/>
              <w:right w:val="single" w:color="auto" w:sz="4" w:space="0"/>
            </w:tcBorders>
            <w:vAlign w:val="center"/>
          </w:tcPr>
          <w:p w14:paraId="4B18A619">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24" w:type="dxa"/>
            <w:tcBorders>
              <w:top w:val="single" w:color="auto" w:sz="4" w:space="0"/>
              <w:left w:val="single" w:color="auto" w:sz="4" w:space="0"/>
              <w:bottom w:val="single" w:color="auto" w:sz="8" w:space="0"/>
              <w:right w:val="single" w:color="auto" w:sz="4" w:space="0"/>
            </w:tcBorders>
            <w:vAlign w:val="center"/>
          </w:tcPr>
          <w:p w14:paraId="5D0B957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single" w:color="auto" w:sz="4" w:space="0"/>
              <w:bottom w:val="single" w:color="auto" w:sz="8" w:space="0"/>
              <w:right w:val="single" w:color="auto" w:sz="4" w:space="0"/>
            </w:tcBorders>
            <w:vAlign w:val="center"/>
          </w:tcPr>
          <w:p w14:paraId="492946D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68" w:type="dxa"/>
            <w:tcBorders>
              <w:top w:val="single" w:color="auto" w:sz="4" w:space="0"/>
              <w:left w:val="single" w:color="auto" w:sz="4" w:space="0"/>
              <w:bottom w:val="single" w:color="auto" w:sz="8" w:space="0"/>
              <w:right w:val="single" w:color="auto" w:sz="4" w:space="0"/>
            </w:tcBorders>
            <w:vAlign w:val="center"/>
          </w:tcPr>
          <w:p w14:paraId="2F320EE5">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436" w:type="dxa"/>
            <w:tcBorders>
              <w:top w:val="single" w:color="auto" w:sz="4" w:space="0"/>
              <w:left w:val="single" w:color="auto" w:sz="4" w:space="0"/>
              <w:bottom w:val="single" w:color="auto" w:sz="8" w:space="0"/>
              <w:right w:val="single" w:color="auto" w:sz="4" w:space="0"/>
            </w:tcBorders>
            <w:vAlign w:val="center"/>
          </w:tcPr>
          <w:p w14:paraId="7B41C4F2">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08" w:type="dxa"/>
            <w:tcBorders>
              <w:top w:val="single" w:color="auto" w:sz="4" w:space="0"/>
              <w:left w:val="single" w:color="auto" w:sz="4" w:space="0"/>
              <w:bottom w:val="single" w:color="auto" w:sz="8" w:space="0"/>
              <w:right w:val="single" w:color="auto" w:sz="4" w:space="0"/>
            </w:tcBorders>
            <w:vAlign w:val="center"/>
          </w:tcPr>
          <w:p w14:paraId="044D8BE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8" w:type="dxa"/>
            <w:tcBorders>
              <w:top w:val="single" w:color="auto" w:sz="4" w:space="0"/>
              <w:left w:val="single" w:color="auto" w:sz="4" w:space="0"/>
              <w:bottom w:val="single" w:color="auto" w:sz="8" w:space="0"/>
              <w:right w:val="single" w:color="auto" w:sz="4" w:space="0"/>
            </w:tcBorders>
            <w:vAlign w:val="center"/>
          </w:tcPr>
          <w:p w14:paraId="3AB6EA8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32" w:type="dxa"/>
            <w:tcBorders>
              <w:top w:val="single" w:color="auto" w:sz="4" w:space="0"/>
              <w:left w:val="single" w:color="auto" w:sz="4" w:space="0"/>
              <w:bottom w:val="single" w:color="auto" w:sz="8" w:space="0"/>
              <w:right w:val="single" w:color="auto" w:sz="4" w:space="0"/>
            </w:tcBorders>
            <w:vAlign w:val="center"/>
          </w:tcPr>
          <w:p w14:paraId="141E4C59">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75" w:type="dxa"/>
            <w:tcBorders>
              <w:top w:val="single" w:color="auto" w:sz="4" w:space="0"/>
              <w:left w:val="single" w:color="auto" w:sz="4" w:space="0"/>
              <w:bottom w:val="single" w:color="auto" w:sz="8" w:space="0"/>
              <w:right w:val="single" w:color="auto" w:sz="4" w:space="0"/>
            </w:tcBorders>
            <w:vAlign w:val="center"/>
          </w:tcPr>
          <w:p w14:paraId="5E7443AC">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8" w:type="dxa"/>
            <w:tcBorders>
              <w:top w:val="single" w:color="auto" w:sz="4" w:space="0"/>
              <w:left w:val="single" w:color="auto" w:sz="4" w:space="0"/>
              <w:bottom w:val="single" w:color="auto" w:sz="8" w:space="0"/>
            </w:tcBorders>
            <w:vAlign w:val="center"/>
          </w:tcPr>
          <w:p w14:paraId="256D1B9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r>
      <w:tr w14:paraId="5B8EFC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049" w:type="dxa"/>
            <w:gridSpan w:val="14"/>
            <w:tcBorders>
              <w:top w:val="single" w:color="auto" w:sz="8" w:space="0"/>
            </w:tcBorders>
          </w:tcPr>
          <w:p w14:paraId="2BB33AD4">
            <w:pPr>
              <w:widowControl w:val="0"/>
              <w:numPr>
                <w:ilvl w:val="0"/>
                <w:numId w:val="33"/>
              </w:numPr>
              <w:autoSpaceDE w:val="0"/>
              <w:autoSpaceDN w:val="0"/>
              <w:ind w:left="811" w:hanging="448"/>
              <w:jc w:val="both"/>
              <w:rPr>
                <w:rFonts w:ascii="宋体" w:hAnsi="Times New Roman" w:eastAsia="宋体" w:cs="Times New Roman"/>
                <w:sz w:val="18"/>
                <w:szCs w:val="18"/>
                <w:lang w:val="en-US" w:eastAsia="zh-CN" w:bidi="ar-SA"/>
              </w:rPr>
            </w:pPr>
            <w:r>
              <w:rPr>
                <w:rFonts w:hint="eastAsia" w:ascii="宋体" w:hAnsi="Times New Roman" w:eastAsia="宋体" w:cs="Times New Roman"/>
                <w:sz w:val="18"/>
                <w:szCs w:val="18"/>
                <w:lang w:val="en-US" w:eastAsia="zh-CN" w:bidi="ar-SA"/>
              </w:rPr>
              <w:t>环节是在指定工作场所，设备实现的主要功能或人员的主要工作内容。</w:t>
            </w:r>
          </w:p>
          <w:p w14:paraId="136ED033">
            <w:pPr>
              <w:widowControl w:val="0"/>
              <w:numPr>
                <w:ilvl w:val="0"/>
                <w:numId w:val="33"/>
              </w:numPr>
              <w:autoSpaceDE w:val="0"/>
              <w:autoSpaceDN w:val="0"/>
              <w:ind w:left="811" w:hanging="448"/>
              <w:jc w:val="both"/>
              <w:rPr>
                <w:rFonts w:ascii="宋体" w:hAnsi="Times New Roman" w:eastAsia="宋体" w:cs="Times New Roman"/>
                <w:sz w:val="18"/>
                <w:szCs w:val="18"/>
                <w:lang w:val="en-US" w:eastAsia="zh-CN" w:bidi="ar-SA"/>
              </w:rPr>
            </w:pPr>
            <w:r>
              <w:rPr>
                <w:rFonts w:hint="eastAsia" w:ascii="宋体" w:hAnsi="Times New Roman" w:eastAsia="宋体" w:cs="Times New Roman"/>
                <w:sz w:val="18"/>
                <w:szCs w:val="18"/>
                <w:lang w:val="en-US" w:eastAsia="zh-CN" w:bidi="ar-SA"/>
              </w:rPr>
              <w:t>危险物质/能量主要指可燃、易燃、易爆、毒害物质或动能、势能、热能、电能、辐射能等。</w:t>
            </w:r>
          </w:p>
          <w:p w14:paraId="64A9D4A9">
            <w:pPr>
              <w:widowControl w:val="0"/>
              <w:numPr>
                <w:ilvl w:val="0"/>
                <w:numId w:val="33"/>
              </w:numPr>
              <w:autoSpaceDE w:val="0"/>
              <w:autoSpaceDN w:val="0"/>
              <w:ind w:left="811" w:hanging="448"/>
              <w:jc w:val="both"/>
              <w:rPr>
                <w:rFonts w:ascii="宋体" w:hAnsi="Times New Roman" w:eastAsia="宋体" w:cs="Times New Roman"/>
                <w:sz w:val="18"/>
                <w:szCs w:val="18"/>
                <w:lang w:val="en-US" w:eastAsia="zh-CN" w:bidi="ar-SA"/>
              </w:rPr>
            </w:pPr>
            <w:r>
              <w:rPr>
                <w:rFonts w:hint="eastAsia" w:ascii="宋体" w:hAnsi="Times New Roman" w:eastAsia="宋体" w:cs="Times New Roman"/>
                <w:sz w:val="18"/>
                <w:szCs w:val="18"/>
                <w:lang w:val="en-US" w:eastAsia="zh-CN" w:bidi="ar-SA"/>
              </w:rPr>
              <w:t>触发事件是指危险升级为事故时所需要的事件或者条件。</w:t>
            </w:r>
          </w:p>
        </w:tc>
      </w:tr>
    </w:tbl>
    <w:p w14:paraId="398B56E7">
      <w:r>
        <w:rPr>
          <w:rFonts w:hint="eastAsia"/>
        </w:rPr>
        <w:br w:type="page"/>
      </w:r>
    </w:p>
    <w:p w14:paraId="5E6A58F4">
      <w:pPr>
        <w:pStyle w:val="147"/>
        <w:spacing w:before="158" w:after="158"/>
      </w:pPr>
      <w:r>
        <w:rPr>
          <w:rFonts w:hint="eastAsia"/>
        </w:rPr>
        <w:t>安全风险辨识和管控清单示例(管道燃气经营企业)</w:t>
      </w:r>
    </w:p>
    <w:p w14:paraId="7CA2490F">
      <w:pPr>
        <w:jc w:val="left"/>
      </w:pPr>
      <w:r>
        <w:rPr>
          <w:rFonts w:hint="eastAsia"/>
          <w:bCs/>
          <w:sz w:val="18"/>
          <w:szCs w:val="18"/>
        </w:rPr>
        <w:t>危险源辨识单元：</w:t>
      </w:r>
      <w:r>
        <w:rPr>
          <w:rFonts w:ascii="Times New Roman" w:hAnsi="Times New Roman"/>
          <w:bCs/>
          <w:sz w:val="18"/>
          <w:szCs w:val="18"/>
        </w:rPr>
        <w:t xml:space="preserve"> </w:t>
      </w:r>
      <w:r>
        <w:rPr>
          <w:bCs/>
          <w:sz w:val="18"/>
          <w:szCs w:val="18"/>
        </w:rPr>
        <w:t xml:space="preserve">           </w:t>
      </w:r>
      <w:r>
        <w:rPr>
          <w:rFonts w:hint="eastAsia"/>
          <w:bCs/>
          <w:sz w:val="18"/>
          <w:szCs w:val="18"/>
        </w:rPr>
        <w:t xml:space="preserve">           </w:t>
      </w:r>
      <w:r>
        <w:rPr>
          <w:bCs/>
          <w:sz w:val="18"/>
          <w:szCs w:val="18"/>
        </w:rPr>
        <w:t xml:space="preserve"> </w:t>
      </w:r>
      <w:r>
        <w:rPr>
          <w:rFonts w:hint="eastAsia"/>
          <w:bCs/>
          <w:sz w:val="18"/>
          <w:szCs w:val="18"/>
          <w:lang w:val="en-US" w:eastAsia="zh-CN"/>
        </w:rPr>
        <w:t xml:space="preserve">               </w:t>
      </w:r>
      <w:r>
        <w:rPr>
          <w:bCs/>
          <w:sz w:val="18"/>
          <w:szCs w:val="18"/>
        </w:rPr>
        <w:t xml:space="preserve">      </w:t>
      </w:r>
      <w:r>
        <w:rPr>
          <w:rFonts w:hint="eastAsia"/>
          <w:bCs/>
          <w:sz w:val="18"/>
          <w:szCs w:val="18"/>
        </w:rPr>
        <w:t>审核人：</w:t>
      </w:r>
      <w:r>
        <w:rPr>
          <w:bCs/>
          <w:sz w:val="18"/>
          <w:szCs w:val="18"/>
        </w:rPr>
        <w:t xml:space="preserve">          </w:t>
      </w:r>
      <w:r>
        <w:rPr>
          <w:rFonts w:hint="eastAsia"/>
          <w:bCs/>
          <w:sz w:val="18"/>
          <w:szCs w:val="18"/>
          <w:lang w:val="en-US" w:eastAsia="zh-CN"/>
        </w:rPr>
        <w:t xml:space="preserve">                        </w:t>
      </w:r>
      <w:r>
        <w:rPr>
          <w:bCs/>
          <w:sz w:val="18"/>
          <w:szCs w:val="18"/>
        </w:rPr>
        <w:t xml:space="preserve">                 </w:t>
      </w:r>
      <w:r>
        <w:rPr>
          <w:rFonts w:hint="eastAsia"/>
          <w:bCs/>
          <w:sz w:val="18"/>
          <w:szCs w:val="18"/>
        </w:rPr>
        <w:t>日期：</w:t>
      </w:r>
      <w:r>
        <w:rPr>
          <w:bCs/>
          <w:sz w:val="18"/>
          <w:szCs w:val="18"/>
        </w:rPr>
        <w:t xml:space="preserve">                  </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6"/>
        <w:gridCol w:w="600"/>
        <w:gridCol w:w="625"/>
        <w:gridCol w:w="744"/>
        <w:gridCol w:w="1392"/>
        <w:gridCol w:w="587"/>
        <w:gridCol w:w="576"/>
        <w:gridCol w:w="2604"/>
        <w:gridCol w:w="2437"/>
        <w:gridCol w:w="1308"/>
        <w:gridCol w:w="689"/>
        <w:gridCol w:w="762"/>
        <w:gridCol w:w="480"/>
        <w:gridCol w:w="626"/>
      </w:tblGrid>
      <w:tr w14:paraId="19DAE8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596" w:type="dxa"/>
            <w:vMerge w:val="restart"/>
            <w:tcBorders>
              <w:top w:val="single" w:color="auto" w:sz="4" w:space="0"/>
              <w:bottom w:val="single" w:color="auto" w:sz="8" w:space="0"/>
              <w:right w:val="single" w:color="auto" w:sz="4" w:space="0"/>
            </w:tcBorders>
            <w:vAlign w:val="center"/>
          </w:tcPr>
          <w:p w14:paraId="2001A93C">
            <w:pPr>
              <w:adjustRightInd/>
              <w:spacing w:line="240" w:lineRule="auto"/>
              <w:jc w:val="center"/>
              <w:rPr>
                <w:rFonts w:ascii="宋体" w:hAnsi="宋体" w:cs="宋体"/>
                <w:sz w:val="18"/>
                <w:szCs w:val="18"/>
              </w:rPr>
            </w:pPr>
            <w:r>
              <w:rPr>
                <w:rFonts w:hint="eastAsia" w:ascii="宋体" w:hAnsi="宋体" w:cs="宋体"/>
                <w:color w:val="000000"/>
                <w:kern w:val="0"/>
                <w:sz w:val="18"/>
                <w:szCs w:val="18"/>
              </w:rPr>
              <w:t>序号</w:t>
            </w:r>
          </w:p>
        </w:tc>
        <w:tc>
          <w:tcPr>
            <w:tcW w:w="600" w:type="dxa"/>
            <w:vMerge w:val="restart"/>
            <w:tcBorders>
              <w:top w:val="single" w:color="auto" w:sz="4" w:space="0"/>
              <w:left w:val="single" w:color="auto" w:sz="4" w:space="0"/>
              <w:bottom w:val="single" w:color="auto" w:sz="8" w:space="0"/>
              <w:right w:val="single" w:color="auto" w:sz="4" w:space="0"/>
            </w:tcBorders>
            <w:vAlign w:val="center"/>
          </w:tcPr>
          <w:p w14:paraId="53298B55">
            <w:pPr>
              <w:widowControl/>
              <w:adjustRightInd/>
              <w:spacing w:line="240" w:lineRule="auto"/>
              <w:jc w:val="center"/>
              <w:rPr>
                <w:rFonts w:ascii="宋体" w:hAnsi="宋体" w:cs="宋体"/>
                <w:b/>
                <w:bCs/>
                <w:color w:val="000000"/>
                <w:kern w:val="0"/>
                <w:sz w:val="18"/>
                <w:szCs w:val="18"/>
              </w:rPr>
            </w:pPr>
            <w:r>
              <w:rPr>
                <w:rFonts w:hint="eastAsia" w:ascii="宋体" w:hAnsi="宋体" w:cs="宋体"/>
                <w:color w:val="000000"/>
                <w:kern w:val="0"/>
                <w:sz w:val="18"/>
                <w:szCs w:val="18"/>
              </w:rPr>
              <w:t>场所/设备/环节</w:t>
            </w:r>
          </w:p>
        </w:tc>
        <w:tc>
          <w:tcPr>
            <w:tcW w:w="625" w:type="dxa"/>
            <w:vMerge w:val="restart"/>
            <w:tcBorders>
              <w:top w:val="single" w:color="auto" w:sz="4" w:space="0"/>
              <w:left w:val="single" w:color="auto" w:sz="4" w:space="0"/>
              <w:bottom w:val="single" w:color="auto" w:sz="8" w:space="0"/>
              <w:right w:val="single" w:color="auto" w:sz="4" w:space="0"/>
            </w:tcBorders>
            <w:vAlign w:val="center"/>
          </w:tcPr>
          <w:p w14:paraId="26FE0182">
            <w:pPr>
              <w:widowControl/>
              <w:adjustRightInd/>
              <w:spacing w:line="240" w:lineRule="auto"/>
              <w:jc w:val="center"/>
              <w:rPr>
                <w:rFonts w:ascii="宋体" w:hAnsi="宋体" w:cs="宋体"/>
                <w:sz w:val="18"/>
                <w:szCs w:val="18"/>
              </w:rPr>
            </w:pPr>
            <w:r>
              <w:rPr>
                <w:rFonts w:hint="eastAsia" w:ascii="宋体" w:hAnsi="宋体" w:cs="宋体"/>
                <w:color w:val="000000"/>
                <w:kern w:val="0"/>
                <w:sz w:val="18"/>
                <w:szCs w:val="18"/>
              </w:rPr>
              <w:t>危险物质/能量</w:t>
            </w:r>
          </w:p>
        </w:tc>
        <w:tc>
          <w:tcPr>
            <w:tcW w:w="744" w:type="dxa"/>
            <w:vMerge w:val="restart"/>
            <w:tcBorders>
              <w:top w:val="single" w:color="auto" w:sz="4" w:space="0"/>
              <w:left w:val="single" w:color="auto" w:sz="4" w:space="0"/>
              <w:bottom w:val="single" w:color="auto" w:sz="8" w:space="0"/>
              <w:right w:val="single" w:color="auto" w:sz="4" w:space="0"/>
            </w:tcBorders>
            <w:vAlign w:val="center"/>
          </w:tcPr>
          <w:p w14:paraId="1874B1B2">
            <w:pPr>
              <w:adjustRightInd/>
              <w:spacing w:line="240" w:lineRule="auto"/>
              <w:jc w:val="center"/>
              <w:rPr>
                <w:rFonts w:ascii="宋体" w:hAnsi="宋体" w:cs="宋体"/>
                <w:sz w:val="18"/>
                <w:szCs w:val="18"/>
              </w:rPr>
            </w:pPr>
            <w:r>
              <w:rPr>
                <w:rFonts w:hint="eastAsia" w:ascii="宋体" w:hAnsi="宋体" w:cs="宋体"/>
                <w:color w:val="000000"/>
                <w:kern w:val="0"/>
                <w:sz w:val="18"/>
                <w:szCs w:val="18"/>
              </w:rPr>
              <w:t>风险类型</w:t>
            </w:r>
          </w:p>
        </w:tc>
        <w:tc>
          <w:tcPr>
            <w:tcW w:w="1392" w:type="dxa"/>
            <w:vMerge w:val="restart"/>
            <w:tcBorders>
              <w:top w:val="single" w:color="auto" w:sz="4" w:space="0"/>
              <w:left w:val="single" w:color="auto" w:sz="4" w:space="0"/>
              <w:bottom w:val="single" w:color="auto" w:sz="8" w:space="0"/>
              <w:right w:val="single" w:color="auto" w:sz="4" w:space="0"/>
            </w:tcBorders>
            <w:vAlign w:val="center"/>
          </w:tcPr>
          <w:p w14:paraId="0D61583D">
            <w:pPr>
              <w:adjustRightInd/>
              <w:spacing w:line="240" w:lineRule="auto"/>
              <w:jc w:val="center"/>
              <w:rPr>
                <w:rFonts w:ascii="宋体" w:hAnsi="宋体" w:cs="宋体"/>
                <w:sz w:val="18"/>
                <w:szCs w:val="18"/>
              </w:rPr>
            </w:pPr>
            <w:r>
              <w:rPr>
                <w:rFonts w:hint="eastAsia" w:ascii="宋体" w:hAnsi="宋体" w:cs="宋体"/>
                <w:sz w:val="18"/>
                <w:szCs w:val="18"/>
              </w:rPr>
              <w:t>触发事件</w:t>
            </w:r>
          </w:p>
        </w:tc>
        <w:tc>
          <w:tcPr>
            <w:tcW w:w="587" w:type="dxa"/>
            <w:vMerge w:val="restart"/>
            <w:tcBorders>
              <w:top w:val="single" w:color="auto" w:sz="4" w:space="0"/>
              <w:left w:val="single" w:color="auto" w:sz="4" w:space="0"/>
              <w:bottom w:val="single" w:color="auto" w:sz="8" w:space="0"/>
              <w:right w:val="single" w:color="auto" w:sz="4" w:space="0"/>
            </w:tcBorders>
            <w:vAlign w:val="center"/>
          </w:tcPr>
          <w:p w14:paraId="218F358B">
            <w:pPr>
              <w:adjustRightInd/>
              <w:spacing w:line="240" w:lineRule="auto"/>
              <w:jc w:val="center"/>
              <w:rPr>
                <w:rFonts w:ascii="宋体" w:hAnsi="宋体" w:cs="宋体"/>
                <w:sz w:val="18"/>
                <w:szCs w:val="18"/>
              </w:rPr>
            </w:pPr>
            <w:r>
              <w:rPr>
                <w:rFonts w:hint="eastAsia" w:ascii="宋体" w:hAnsi="宋体" w:cs="宋体"/>
                <w:color w:val="000000"/>
                <w:kern w:val="0"/>
                <w:sz w:val="18"/>
                <w:szCs w:val="18"/>
              </w:rPr>
              <w:t>固有风险等级</w:t>
            </w:r>
          </w:p>
        </w:tc>
        <w:tc>
          <w:tcPr>
            <w:tcW w:w="576" w:type="dxa"/>
            <w:vMerge w:val="restart"/>
            <w:tcBorders>
              <w:top w:val="single" w:color="auto" w:sz="4" w:space="0"/>
              <w:left w:val="single" w:color="auto" w:sz="4" w:space="0"/>
              <w:bottom w:val="single" w:color="auto" w:sz="8" w:space="0"/>
              <w:right w:val="single" w:color="auto" w:sz="4" w:space="0"/>
            </w:tcBorders>
            <w:vAlign w:val="center"/>
          </w:tcPr>
          <w:p w14:paraId="44906F70">
            <w:pPr>
              <w:adjustRightInd/>
              <w:spacing w:line="240" w:lineRule="auto"/>
              <w:jc w:val="center"/>
              <w:rPr>
                <w:rFonts w:ascii="宋体" w:hAnsi="宋体" w:cs="宋体"/>
                <w:sz w:val="18"/>
                <w:szCs w:val="18"/>
              </w:rPr>
            </w:pPr>
            <w:r>
              <w:rPr>
                <w:rFonts w:hint="eastAsia" w:ascii="宋体" w:hAnsi="宋体" w:cs="宋体"/>
                <w:color w:val="000000"/>
                <w:kern w:val="0"/>
                <w:sz w:val="18"/>
                <w:szCs w:val="18"/>
              </w:rPr>
              <w:t>残余风险等级</w:t>
            </w:r>
          </w:p>
        </w:tc>
        <w:tc>
          <w:tcPr>
            <w:tcW w:w="7800" w:type="dxa"/>
            <w:gridSpan w:val="5"/>
            <w:tcBorders>
              <w:top w:val="single" w:color="auto" w:sz="4" w:space="0"/>
              <w:left w:val="single" w:color="auto" w:sz="4" w:space="0"/>
              <w:bottom w:val="single" w:color="auto" w:sz="8" w:space="0"/>
              <w:right w:val="single" w:color="auto" w:sz="4" w:space="0"/>
            </w:tcBorders>
            <w:vAlign w:val="center"/>
          </w:tcPr>
          <w:p w14:paraId="15FED9A3">
            <w:pPr>
              <w:widowControl/>
              <w:adjustRightInd/>
              <w:spacing w:line="240" w:lineRule="auto"/>
              <w:jc w:val="center"/>
              <w:rPr>
                <w:rFonts w:ascii="宋体" w:hAnsi="宋体" w:cs="宋体"/>
                <w:sz w:val="18"/>
                <w:szCs w:val="18"/>
              </w:rPr>
            </w:pPr>
            <w:r>
              <w:rPr>
                <w:rFonts w:hint="eastAsia" w:ascii="宋体" w:hAnsi="宋体" w:cs="宋体"/>
                <w:sz w:val="18"/>
                <w:szCs w:val="18"/>
              </w:rPr>
              <w:t>安全风险管控措施</w:t>
            </w:r>
          </w:p>
        </w:tc>
        <w:tc>
          <w:tcPr>
            <w:tcW w:w="480" w:type="dxa"/>
            <w:vMerge w:val="restart"/>
            <w:tcBorders>
              <w:top w:val="single" w:color="auto" w:sz="4" w:space="0"/>
              <w:left w:val="single" w:color="auto" w:sz="4" w:space="0"/>
              <w:bottom w:val="single" w:color="auto" w:sz="8" w:space="0"/>
              <w:right w:val="single" w:color="auto" w:sz="4" w:space="0"/>
            </w:tcBorders>
            <w:vAlign w:val="center"/>
          </w:tcPr>
          <w:p w14:paraId="3B2A50B0">
            <w:pPr>
              <w:adjustRightInd/>
              <w:spacing w:line="240" w:lineRule="auto"/>
              <w:jc w:val="center"/>
              <w:rPr>
                <w:rFonts w:ascii="宋体" w:hAnsi="宋体" w:cs="宋体"/>
                <w:sz w:val="18"/>
                <w:szCs w:val="20"/>
              </w:rPr>
            </w:pPr>
            <w:r>
              <w:rPr>
                <w:rFonts w:hint="eastAsia" w:ascii="宋体" w:hAnsi="宋体" w:cs="宋体"/>
                <w:sz w:val="18"/>
                <w:szCs w:val="20"/>
              </w:rPr>
              <w:t>管控层级</w:t>
            </w:r>
          </w:p>
        </w:tc>
        <w:tc>
          <w:tcPr>
            <w:tcW w:w="626" w:type="dxa"/>
            <w:vMerge w:val="restart"/>
            <w:tcBorders>
              <w:left w:val="single" w:color="auto" w:sz="4" w:space="0"/>
              <w:bottom w:val="single" w:color="auto" w:sz="8" w:space="0"/>
            </w:tcBorders>
            <w:vAlign w:val="center"/>
          </w:tcPr>
          <w:p w14:paraId="67B56BFF">
            <w:pPr>
              <w:adjustRightInd/>
              <w:spacing w:line="240" w:lineRule="auto"/>
              <w:jc w:val="center"/>
              <w:rPr>
                <w:rFonts w:ascii="宋体" w:hAnsi="宋体" w:cs="宋体"/>
                <w:sz w:val="18"/>
                <w:szCs w:val="20"/>
              </w:rPr>
            </w:pPr>
            <w:r>
              <w:rPr>
                <w:rFonts w:hint="eastAsia" w:ascii="宋体" w:hAnsi="宋体" w:cs="宋体"/>
                <w:sz w:val="18"/>
                <w:szCs w:val="20"/>
              </w:rPr>
              <w:t>责任部门/责任人</w:t>
            </w:r>
          </w:p>
        </w:tc>
      </w:tr>
      <w:tr w14:paraId="54F238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596" w:type="dxa"/>
            <w:vMerge w:val="continue"/>
            <w:tcBorders>
              <w:right w:val="single" w:color="auto" w:sz="4" w:space="0"/>
            </w:tcBorders>
            <w:vAlign w:val="center"/>
          </w:tcPr>
          <w:p w14:paraId="50C73F9D">
            <w:pPr>
              <w:widowControl/>
              <w:adjustRightInd/>
              <w:spacing w:line="240" w:lineRule="auto"/>
              <w:jc w:val="left"/>
              <w:rPr>
                <w:rFonts w:ascii="宋体" w:hAnsi="宋体" w:cs="宋体"/>
                <w:sz w:val="18"/>
                <w:szCs w:val="18"/>
              </w:rPr>
            </w:pPr>
          </w:p>
        </w:tc>
        <w:tc>
          <w:tcPr>
            <w:tcW w:w="600" w:type="dxa"/>
            <w:vMerge w:val="continue"/>
            <w:tcBorders>
              <w:left w:val="single" w:color="auto" w:sz="4" w:space="0"/>
              <w:right w:val="single" w:color="auto" w:sz="4" w:space="0"/>
            </w:tcBorders>
            <w:vAlign w:val="center"/>
          </w:tcPr>
          <w:p w14:paraId="0170E8BC">
            <w:pPr>
              <w:widowControl/>
              <w:adjustRightInd/>
              <w:spacing w:line="240" w:lineRule="auto"/>
              <w:jc w:val="left"/>
              <w:rPr>
                <w:rFonts w:ascii="宋体" w:hAnsi="宋体" w:cs="宋体"/>
                <w:b/>
                <w:bCs/>
                <w:color w:val="000000"/>
                <w:kern w:val="0"/>
                <w:sz w:val="18"/>
                <w:szCs w:val="18"/>
              </w:rPr>
            </w:pPr>
          </w:p>
        </w:tc>
        <w:tc>
          <w:tcPr>
            <w:tcW w:w="625" w:type="dxa"/>
            <w:vMerge w:val="continue"/>
            <w:tcBorders>
              <w:left w:val="single" w:color="auto" w:sz="4" w:space="0"/>
              <w:right w:val="single" w:color="auto" w:sz="4" w:space="0"/>
            </w:tcBorders>
            <w:vAlign w:val="center"/>
          </w:tcPr>
          <w:p w14:paraId="5234A442">
            <w:pPr>
              <w:widowControl/>
              <w:adjustRightInd/>
              <w:spacing w:line="240" w:lineRule="auto"/>
              <w:jc w:val="left"/>
              <w:rPr>
                <w:rFonts w:ascii="宋体" w:hAnsi="宋体" w:cs="宋体"/>
                <w:sz w:val="18"/>
                <w:szCs w:val="18"/>
              </w:rPr>
            </w:pPr>
          </w:p>
        </w:tc>
        <w:tc>
          <w:tcPr>
            <w:tcW w:w="744" w:type="dxa"/>
            <w:vMerge w:val="continue"/>
            <w:tcBorders>
              <w:left w:val="single" w:color="auto" w:sz="4" w:space="0"/>
              <w:right w:val="single" w:color="auto" w:sz="4" w:space="0"/>
            </w:tcBorders>
            <w:vAlign w:val="center"/>
          </w:tcPr>
          <w:p w14:paraId="48BA040F">
            <w:pPr>
              <w:widowControl/>
              <w:adjustRightInd/>
              <w:spacing w:line="240" w:lineRule="auto"/>
              <w:jc w:val="left"/>
              <w:rPr>
                <w:rFonts w:ascii="宋体" w:hAnsi="宋体" w:cs="宋体"/>
                <w:sz w:val="18"/>
                <w:szCs w:val="18"/>
              </w:rPr>
            </w:pPr>
          </w:p>
        </w:tc>
        <w:tc>
          <w:tcPr>
            <w:tcW w:w="1392" w:type="dxa"/>
            <w:vMerge w:val="continue"/>
            <w:tcBorders>
              <w:left w:val="single" w:color="auto" w:sz="4" w:space="0"/>
              <w:right w:val="single" w:color="auto" w:sz="4" w:space="0"/>
            </w:tcBorders>
            <w:vAlign w:val="center"/>
          </w:tcPr>
          <w:p w14:paraId="69591E25">
            <w:pPr>
              <w:widowControl/>
              <w:adjustRightInd/>
              <w:spacing w:line="240" w:lineRule="auto"/>
              <w:jc w:val="left"/>
              <w:rPr>
                <w:rFonts w:ascii="宋体" w:hAnsi="宋体" w:cs="宋体"/>
                <w:sz w:val="18"/>
                <w:szCs w:val="18"/>
              </w:rPr>
            </w:pPr>
          </w:p>
        </w:tc>
        <w:tc>
          <w:tcPr>
            <w:tcW w:w="587" w:type="dxa"/>
            <w:vMerge w:val="continue"/>
            <w:tcBorders>
              <w:left w:val="single" w:color="auto" w:sz="4" w:space="0"/>
              <w:right w:val="single" w:color="auto" w:sz="4" w:space="0"/>
            </w:tcBorders>
            <w:vAlign w:val="center"/>
          </w:tcPr>
          <w:p w14:paraId="1ABC2665">
            <w:pPr>
              <w:widowControl/>
              <w:adjustRightInd/>
              <w:spacing w:line="240" w:lineRule="auto"/>
              <w:jc w:val="left"/>
              <w:rPr>
                <w:rFonts w:ascii="宋体" w:hAnsi="宋体" w:cs="宋体"/>
                <w:sz w:val="18"/>
                <w:szCs w:val="18"/>
              </w:rPr>
            </w:pPr>
          </w:p>
        </w:tc>
        <w:tc>
          <w:tcPr>
            <w:tcW w:w="576" w:type="dxa"/>
            <w:vMerge w:val="continue"/>
            <w:tcBorders>
              <w:left w:val="single" w:color="auto" w:sz="4" w:space="0"/>
              <w:right w:val="single" w:color="auto" w:sz="4" w:space="0"/>
            </w:tcBorders>
            <w:vAlign w:val="center"/>
          </w:tcPr>
          <w:p w14:paraId="6D14940E">
            <w:pPr>
              <w:widowControl/>
              <w:adjustRightInd/>
              <w:spacing w:line="240" w:lineRule="auto"/>
              <w:jc w:val="left"/>
              <w:rPr>
                <w:rFonts w:ascii="宋体" w:hAnsi="宋体" w:cs="宋体"/>
                <w:sz w:val="18"/>
                <w:szCs w:val="18"/>
              </w:rPr>
            </w:pPr>
          </w:p>
        </w:tc>
        <w:tc>
          <w:tcPr>
            <w:tcW w:w="2604" w:type="dxa"/>
            <w:tcBorders>
              <w:top w:val="single" w:color="auto" w:sz="4" w:space="0"/>
              <w:left w:val="single" w:color="auto" w:sz="4" w:space="0"/>
              <w:bottom w:val="single" w:color="auto" w:sz="8" w:space="0"/>
              <w:right w:val="single" w:color="auto" w:sz="4" w:space="0"/>
            </w:tcBorders>
            <w:vAlign w:val="center"/>
          </w:tcPr>
          <w:p w14:paraId="753664C1">
            <w:pPr>
              <w:adjustRightInd/>
              <w:spacing w:line="240" w:lineRule="auto"/>
              <w:jc w:val="center"/>
              <w:rPr>
                <w:rFonts w:ascii="宋体" w:hAnsi="宋体" w:cs="宋体"/>
                <w:sz w:val="18"/>
                <w:szCs w:val="18"/>
              </w:rPr>
            </w:pPr>
            <w:r>
              <w:rPr>
                <w:rFonts w:hint="eastAsia" w:ascii="宋体" w:hAnsi="宋体" w:cs="宋体"/>
                <w:sz w:val="18"/>
                <w:szCs w:val="18"/>
              </w:rPr>
              <w:t>工程</w:t>
            </w:r>
          </w:p>
          <w:p w14:paraId="5930A8EE">
            <w:pPr>
              <w:adjustRightInd/>
              <w:spacing w:line="240" w:lineRule="auto"/>
              <w:jc w:val="center"/>
              <w:rPr>
                <w:rFonts w:hint="eastAsia" w:ascii="宋体" w:hAnsi="宋体" w:cs="宋体"/>
                <w:sz w:val="18"/>
                <w:szCs w:val="18"/>
              </w:rPr>
            </w:pPr>
            <w:r>
              <w:rPr>
                <w:rFonts w:hint="eastAsia" w:ascii="宋体" w:hAnsi="宋体" w:cs="宋体"/>
                <w:sz w:val="18"/>
                <w:szCs w:val="18"/>
              </w:rPr>
              <w:t>技术</w:t>
            </w:r>
          </w:p>
        </w:tc>
        <w:tc>
          <w:tcPr>
            <w:tcW w:w="2437" w:type="dxa"/>
            <w:tcBorders>
              <w:top w:val="single" w:color="auto" w:sz="4" w:space="0"/>
              <w:left w:val="single" w:color="auto" w:sz="4" w:space="0"/>
              <w:bottom w:val="single" w:color="auto" w:sz="8" w:space="0"/>
              <w:right w:val="single" w:color="auto" w:sz="4" w:space="0"/>
            </w:tcBorders>
            <w:vAlign w:val="center"/>
          </w:tcPr>
          <w:p w14:paraId="2E6C2518">
            <w:pPr>
              <w:adjustRightInd/>
              <w:spacing w:line="240" w:lineRule="auto"/>
              <w:jc w:val="center"/>
              <w:rPr>
                <w:rFonts w:ascii="宋体" w:hAnsi="宋体" w:cs="宋体"/>
                <w:sz w:val="18"/>
                <w:szCs w:val="18"/>
              </w:rPr>
            </w:pPr>
            <w:r>
              <w:rPr>
                <w:rFonts w:hint="eastAsia" w:ascii="宋体" w:hAnsi="宋体" w:cs="宋体"/>
                <w:sz w:val="18"/>
                <w:szCs w:val="18"/>
              </w:rPr>
              <w:t>安全</w:t>
            </w:r>
          </w:p>
          <w:p w14:paraId="148E5965">
            <w:pPr>
              <w:adjustRightInd/>
              <w:spacing w:line="240" w:lineRule="auto"/>
              <w:jc w:val="center"/>
              <w:rPr>
                <w:rFonts w:hint="eastAsia" w:ascii="宋体" w:hAnsi="宋体" w:cs="宋体"/>
                <w:sz w:val="18"/>
                <w:szCs w:val="18"/>
              </w:rPr>
            </w:pPr>
            <w:r>
              <w:rPr>
                <w:rFonts w:hint="eastAsia" w:ascii="宋体" w:hAnsi="宋体" w:cs="宋体"/>
                <w:sz w:val="18"/>
                <w:szCs w:val="18"/>
              </w:rPr>
              <w:t>管理</w:t>
            </w:r>
          </w:p>
        </w:tc>
        <w:tc>
          <w:tcPr>
            <w:tcW w:w="1308" w:type="dxa"/>
            <w:tcBorders>
              <w:top w:val="single" w:color="auto" w:sz="4" w:space="0"/>
              <w:left w:val="single" w:color="auto" w:sz="4" w:space="0"/>
              <w:bottom w:val="single" w:color="auto" w:sz="8" w:space="0"/>
              <w:right w:val="single" w:color="auto" w:sz="4" w:space="0"/>
            </w:tcBorders>
            <w:vAlign w:val="center"/>
          </w:tcPr>
          <w:p w14:paraId="49B03836">
            <w:pPr>
              <w:adjustRightInd/>
              <w:spacing w:line="240" w:lineRule="auto"/>
              <w:jc w:val="center"/>
              <w:rPr>
                <w:rFonts w:ascii="宋体" w:hAnsi="宋体" w:cs="宋体"/>
                <w:sz w:val="18"/>
                <w:szCs w:val="18"/>
              </w:rPr>
            </w:pPr>
            <w:r>
              <w:rPr>
                <w:rFonts w:hint="eastAsia" w:ascii="宋体" w:hAnsi="宋体" w:cs="宋体"/>
                <w:sz w:val="18"/>
                <w:szCs w:val="18"/>
              </w:rPr>
              <w:t>培训</w:t>
            </w:r>
          </w:p>
          <w:p w14:paraId="7E011D27">
            <w:pPr>
              <w:adjustRightInd/>
              <w:spacing w:line="240" w:lineRule="auto"/>
              <w:jc w:val="center"/>
              <w:rPr>
                <w:rFonts w:hint="eastAsia" w:ascii="宋体" w:hAnsi="宋体" w:cs="宋体"/>
                <w:sz w:val="18"/>
                <w:szCs w:val="18"/>
              </w:rPr>
            </w:pPr>
            <w:r>
              <w:rPr>
                <w:rFonts w:hint="eastAsia" w:ascii="宋体" w:hAnsi="宋体" w:cs="宋体"/>
                <w:sz w:val="18"/>
                <w:szCs w:val="18"/>
              </w:rPr>
              <w:t>教育</w:t>
            </w:r>
          </w:p>
        </w:tc>
        <w:tc>
          <w:tcPr>
            <w:tcW w:w="689" w:type="dxa"/>
            <w:tcBorders>
              <w:top w:val="single" w:color="auto" w:sz="4" w:space="0"/>
              <w:left w:val="single" w:color="auto" w:sz="4" w:space="0"/>
              <w:bottom w:val="single" w:color="auto" w:sz="8" w:space="0"/>
              <w:right w:val="single" w:color="auto" w:sz="4" w:space="0"/>
            </w:tcBorders>
            <w:vAlign w:val="center"/>
          </w:tcPr>
          <w:p w14:paraId="1A34C7A9">
            <w:pPr>
              <w:adjustRightInd/>
              <w:spacing w:line="240" w:lineRule="auto"/>
              <w:jc w:val="center"/>
              <w:rPr>
                <w:rFonts w:hint="eastAsia" w:ascii="宋体" w:hAnsi="宋体" w:cs="宋体"/>
                <w:sz w:val="18"/>
                <w:szCs w:val="18"/>
              </w:rPr>
            </w:pPr>
            <w:r>
              <w:rPr>
                <w:rFonts w:hint="eastAsia" w:ascii="宋体" w:hAnsi="宋体" w:cs="宋体"/>
                <w:sz w:val="18"/>
                <w:szCs w:val="18"/>
              </w:rPr>
              <w:t>个体防护</w:t>
            </w:r>
          </w:p>
        </w:tc>
        <w:tc>
          <w:tcPr>
            <w:tcW w:w="762" w:type="dxa"/>
            <w:tcBorders>
              <w:top w:val="single" w:color="auto" w:sz="4" w:space="0"/>
              <w:left w:val="single" w:color="auto" w:sz="4" w:space="0"/>
              <w:bottom w:val="single" w:color="auto" w:sz="8" w:space="0"/>
              <w:right w:val="single" w:color="auto" w:sz="4" w:space="0"/>
            </w:tcBorders>
            <w:vAlign w:val="center"/>
          </w:tcPr>
          <w:p w14:paraId="370D9593">
            <w:pPr>
              <w:adjustRightInd/>
              <w:spacing w:line="240" w:lineRule="auto"/>
              <w:jc w:val="center"/>
              <w:rPr>
                <w:rFonts w:hint="eastAsia" w:ascii="宋体" w:hAnsi="宋体" w:cs="宋体"/>
                <w:sz w:val="18"/>
                <w:szCs w:val="18"/>
              </w:rPr>
            </w:pPr>
            <w:r>
              <w:rPr>
                <w:rFonts w:hint="eastAsia" w:ascii="宋体" w:hAnsi="宋体" w:cs="宋体"/>
                <w:sz w:val="18"/>
                <w:szCs w:val="18"/>
              </w:rPr>
              <w:t>应急</w:t>
            </w:r>
          </w:p>
          <w:p w14:paraId="5F792E7F">
            <w:pPr>
              <w:adjustRightInd/>
              <w:spacing w:line="240" w:lineRule="auto"/>
              <w:jc w:val="center"/>
              <w:rPr>
                <w:rFonts w:hint="eastAsia" w:ascii="宋体" w:hAnsi="宋体" w:cs="宋体"/>
                <w:sz w:val="18"/>
                <w:szCs w:val="18"/>
              </w:rPr>
            </w:pPr>
            <w:r>
              <w:rPr>
                <w:rFonts w:hint="eastAsia" w:ascii="宋体" w:hAnsi="宋体" w:cs="宋体"/>
                <w:sz w:val="18"/>
                <w:szCs w:val="18"/>
              </w:rPr>
              <w:t>处置</w:t>
            </w:r>
          </w:p>
        </w:tc>
        <w:tc>
          <w:tcPr>
            <w:tcW w:w="480" w:type="dxa"/>
            <w:vMerge w:val="continue"/>
            <w:tcBorders>
              <w:left w:val="single" w:color="auto" w:sz="4" w:space="0"/>
              <w:right w:val="single" w:color="auto" w:sz="4" w:space="0"/>
            </w:tcBorders>
            <w:vAlign w:val="center"/>
          </w:tcPr>
          <w:p w14:paraId="376AE25B">
            <w:pPr>
              <w:widowControl/>
              <w:adjustRightInd/>
              <w:spacing w:line="240" w:lineRule="auto"/>
              <w:jc w:val="left"/>
              <w:rPr>
                <w:rFonts w:ascii="宋体" w:hAnsi="宋体" w:cs="宋体"/>
                <w:sz w:val="18"/>
                <w:szCs w:val="20"/>
              </w:rPr>
            </w:pPr>
          </w:p>
        </w:tc>
        <w:tc>
          <w:tcPr>
            <w:tcW w:w="626" w:type="dxa"/>
            <w:vMerge w:val="continue"/>
            <w:tcBorders>
              <w:left w:val="single" w:color="auto" w:sz="4" w:space="0"/>
            </w:tcBorders>
            <w:vAlign w:val="center"/>
          </w:tcPr>
          <w:p w14:paraId="0E14E97C">
            <w:pPr>
              <w:widowControl/>
              <w:adjustRightInd/>
              <w:spacing w:line="240" w:lineRule="auto"/>
              <w:jc w:val="left"/>
              <w:rPr>
                <w:rFonts w:ascii="宋体" w:hAnsi="宋体" w:cs="宋体"/>
                <w:sz w:val="18"/>
                <w:szCs w:val="20"/>
              </w:rPr>
            </w:pPr>
          </w:p>
        </w:tc>
      </w:tr>
      <w:tr w14:paraId="762139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8" w:space="0"/>
              <w:bottom w:val="single" w:color="auto" w:sz="4" w:space="0"/>
              <w:right w:val="single" w:color="auto" w:sz="4" w:space="0"/>
            </w:tcBorders>
            <w:shd w:val="clear" w:color="auto" w:fill="auto"/>
            <w:vAlign w:val="center"/>
          </w:tcPr>
          <w:p w14:paraId="6B8107C9">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0" w:type="dxa"/>
            <w:tcBorders>
              <w:top w:val="single" w:color="auto" w:sz="8" w:space="0"/>
              <w:left w:val="single" w:color="auto" w:sz="4" w:space="0"/>
              <w:bottom w:val="single" w:color="auto" w:sz="4" w:space="0"/>
              <w:right w:val="single" w:color="auto" w:sz="4" w:space="0"/>
            </w:tcBorders>
            <w:shd w:val="clear" w:color="auto" w:fill="auto"/>
            <w:vAlign w:val="center"/>
          </w:tcPr>
          <w:p w14:paraId="6A3A6D04">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压缩机间/燃气压缩机/加压</w:t>
            </w:r>
          </w:p>
        </w:tc>
        <w:tc>
          <w:tcPr>
            <w:tcW w:w="625" w:type="dxa"/>
            <w:tcBorders>
              <w:top w:val="single" w:color="auto" w:sz="8" w:space="0"/>
              <w:left w:val="single" w:color="auto" w:sz="4" w:space="0"/>
              <w:bottom w:val="single" w:color="auto" w:sz="4" w:space="0"/>
              <w:right w:val="single" w:color="auto" w:sz="4" w:space="0"/>
            </w:tcBorders>
            <w:shd w:val="clear" w:color="auto" w:fill="auto"/>
            <w:vAlign w:val="center"/>
          </w:tcPr>
          <w:p w14:paraId="1BD191AB">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1.天然气</w:t>
            </w:r>
          </w:p>
          <w:p w14:paraId="0D944C4C">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2.点火源（明火、电火、高温、雷电）</w:t>
            </w:r>
          </w:p>
        </w:tc>
        <w:tc>
          <w:tcPr>
            <w:tcW w:w="744" w:type="dxa"/>
            <w:tcBorders>
              <w:top w:val="single" w:color="auto" w:sz="8" w:space="0"/>
              <w:left w:val="single" w:color="auto" w:sz="4" w:space="0"/>
              <w:bottom w:val="single" w:color="auto" w:sz="4" w:space="0"/>
              <w:right w:val="single" w:color="auto" w:sz="4" w:space="0"/>
            </w:tcBorders>
            <w:shd w:val="clear" w:color="auto" w:fill="auto"/>
            <w:vAlign w:val="center"/>
          </w:tcPr>
          <w:p w14:paraId="24064D3C">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火灾、其他爆炸、容器爆炸、中毒和窒息</w:t>
            </w:r>
          </w:p>
        </w:tc>
        <w:tc>
          <w:tcPr>
            <w:tcW w:w="1392" w:type="dxa"/>
            <w:tcBorders>
              <w:top w:val="single" w:color="auto" w:sz="8" w:space="0"/>
              <w:left w:val="single" w:color="auto" w:sz="4" w:space="0"/>
              <w:bottom w:val="single" w:color="auto" w:sz="4" w:space="0"/>
              <w:right w:val="single" w:color="auto" w:sz="4" w:space="0"/>
            </w:tcBorders>
            <w:shd w:val="clear" w:color="auto" w:fill="auto"/>
            <w:vAlign w:val="center"/>
          </w:tcPr>
          <w:p w14:paraId="3572FD65">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压缩机填料漏气达到爆炸极限，遇点火源。</w:t>
            </w:r>
          </w:p>
        </w:tc>
        <w:tc>
          <w:tcPr>
            <w:tcW w:w="587" w:type="dxa"/>
            <w:tcBorders>
              <w:top w:val="single" w:color="auto" w:sz="8" w:space="0"/>
              <w:left w:val="single" w:color="auto" w:sz="4" w:space="0"/>
              <w:bottom w:val="single" w:color="auto" w:sz="4" w:space="0"/>
              <w:right w:val="single" w:color="auto" w:sz="4" w:space="0"/>
            </w:tcBorders>
            <w:shd w:val="clear" w:color="auto" w:fill="FFFF00"/>
            <w:vAlign w:val="center"/>
          </w:tcPr>
          <w:p w14:paraId="4D474DC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一般风险</w:t>
            </w:r>
          </w:p>
        </w:tc>
        <w:tc>
          <w:tcPr>
            <w:tcW w:w="576" w:type="dxa"/>
            <w:tcBorders>
              <w:top w:val="single" w:color="auto" w:sz="8" w:space="0"/>
              <w:left w:val="single" w:color="auto" w:sz="4" w:space="0"/>
              <w:bottom w:val="single" w:color="auto" w:sz="4" w:space="0"/>
              <w:right w:val="single" w:color="auto" w:sz="4" w:space="0"/>
            </w:tcBorders>
            <w:shd w:val="clear" w:color="auto" w:fill="00B0F0"/>
            <w:vAlign w:val="center"/>
          </w:tcPr>
          <w:p w14:paraId="734F1F0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低风险</w:t>
            </w:r>
          </w:p>
        </w:tc>
        <w:tc>
          <w:tcPr>
            <w:tcW w:w="2604" w:type="dxa"/>
            <w:tcBorders>
              <w:top w:val="single" w:color="auto" w:sz="8" w:space="0"/>
              <w:left w:val="single" w:color="auto" w:sz="4" w:space="0"/>
              <w:bottom w:val="single" w:color="auto" w:sz="4" w:space="0"/>
              <w:right w:val="single" w:color="auto" w:sz="4" w:space="0"/>
            </w:tcBorders>
            <w:vAlign w:val="top"/>
          </w:tcPr>
          <w:p w14:paraId="448775D1">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1.采用DCS集散型控制系统进行工艺控制（对有关温度、压力、液位、流量等参数设置信号报警及连锁系统），以达到紧急切断和安全停车过程控制。</w:t>
            </w:r>
          </w:p>
          <w:p w14:paraId="1ED53931">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2.设置燃气泄漏检测和控制系统，设置摄像监控监视系统。</w:t>
            </w:r>
          </w:p>
          <w:p w14:paraId="72C4C9E8">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3.使用防爆型电气设备。</w:t>
            </w:r>
          </w:p>
          <w:p w14:paraId="1618DE57">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4.压缩机设有自动和手动停车装置。</w:t>
            </w:r>
          </w:p>
          <w:p w14:paraId="43104896">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5.排气压力不大于25 MPa（表压），各级冷却后的排气温度不超过40℃。</w:t>
            </w:r>
          </w:p>
          <w:p w14:paraId="1545DC6C">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6.润滑油油箱油位处于正常范围内，供油压力、供油温度和</w:t>
            </w:r>
          </w:p>
          <w:p w14:paraId="26E92E8B">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回油温度应符合工艺要求。</w:t>
            </w:r>
          </w:p>
          <w:p w14:paraId="5BB67B7D">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7.压缩机进口管道上设有手动和电动（或气动）控制阀门。</w:t>
            </w:r>
          </w:p>
          <w:p w14:paraId="599BE704">
            <w:pPr>
              <w:widowControl/>
              <w:adjustRightInd/>
              <w:spacing w:line="240" w:lineRule="auto"/>
              <w:jc w:val="both"/>
              <w:rPr>
                <w:rFonts w:hint="eastAsia" w:ascii="宋体" w:hAnsi="宋体" w:cs="宋体"/>
                <w:color w:val="000000"/>
                <w:kern w:val="0"/>
                <w:sz w:val="18"/>
                <w:szCs w:val="18"/>
              </w:rPr>
            </w:pPr>
            <w:r>
              <w:rPr>
                <w:rFonts w:hint="eastAsia" w:ascii="宋体" w:hAnsi="宋体" w:cs="宋体"/>
                <w:color w:val="000000"/>
                <w:kern w:val="0"/>
                <w:sz w:val="18"/>
                <w:szCs w:val="18"/>
              </w:rPr>
              <w:t>8.压缩机出口管道上设有安全</w:t>
            </w:r>
          </w:p>
        </w:tc>
        <w:tc>
          <w:tcPr>
            <w:tcW w:w="2437" w:type="dxa"/>
            <w:tcBorders>
              <w:top w:val="single" w:color="auto" w:sz="8" w:space="0"/>
              <w:left w:val="single" w:color="auto" w:sz="4" w:space="0"/>
              <w:bottom w:val="single" w:color="auto" w:sz="4" w:space="0"/>
              <w:right w:val="single" w:color="auto" w:sz="4" w:space="0"/>
            </w:tcBorders>
            <w:vAlign w:val="top"/>
          </w:tcPr>
          <w:p w14:paraId="3F8A3D9F">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定期</w:t>
            </w:r>
            <w:r>
              <w:rPr>
                <w:rFonts w:hint="eastAsia" w:ascii="宋体" w:hAnsi="宋体" w:cs="宋体"/>
                <w:color w:val="000000"/>
                <w:kern w:val="0"/>
                <w:sz w:val="18"/>
                <w:szCs w:val="18"/>
              </w:rPr>
              <w:t>巡检、</w:t>
            </w:r>
            <w:r>
              <w:rPr>
                <w:rFonts w:ascii="宋体" w:hAnsi="宋体" w:cs="宋体"/>
                <w:color w:val="000000"/>
                <w:kern w:val="0"/>
                <w:sz w:val="18"/>
                <w:szCs w:val="18"/>
              </w:rPr>
              <w:t>检测、维护和维修</w:t>
            </w:r>
            <w:r>
              <w:rPr>
                <w:rFonts w:hint="eastAsia" w:ascii="宋体" w:hAnsi="宋体" w:cs="宋体"/>
                <w:color w:val="000000"/>
                <w:kern w:val="0"/>
                <w:sz w:val="18"/>
                <w:szCs w:val="18"/>
              </w:rPr>
              <w:t>压缩机</w:t>
            </w:r>
            <w:r>
              <w:rPr>
                <w:rFonts w:ascii="宋体" w:hAnsi="宋体" w:cs="宋体"/>
                <w:color w:val="000000"/>
                <w:kern w:val="0"/>
                <w:sz w:val="18"/>
                <w:szCs w:val="18"/>
              </w:rPr>
              <w:t>。</w:t>
            </w:r>
          </w:p>
          <w:p w14:paraId="0669DAC5">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制定岗位安全操作规程并悬挂在醒目位置，操作人员</w:t>
            </w:r>
            <w:r>
              <w:rPr>
                <w:rFonts w:hint="eastAsia" w:ascii="宋体" w:hAnsi="宋体" w:cs="宋体"/>
                <w:color w:val="000000"/>
                <w:kern w:val="0"/>
                <w:sz w:val="18"/>
                <w:szCs w:val="18"/>
              </w:rPr>
              <w:t>严格按照操作规程进行操作，开停车应进行检查。</w:t>
            </w:r>
          </w:p>
          <w:p w14:paraId="34F646F1">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3.严禁私自修改设定参数。</w:t>
            </w:r>
          </w:p>
          <w:p w14:paraId="3C15E8A3">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4.压缩机</w:t>
            </w:r>
            <w:r>
              <w:rPr>
                <w:rFonts w:ascii="宋体" w:hAnsi="宋体" w:cs="宋体"/>
                <w:color w:val="000000"/>
                <w:kern w:val="0"/>
                <w:sz w:val="18"/>
                <w:szCs w:val="18"/>
              </w:rPr>
              <w:t>间内设置明显的安全警示标识。</w:t>
            </w:r>
          </w:p>
          <w:p w14:paraId="54E4593A">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5.保持压缩机室内整洁卫生，无潮湿或腐蚀性环境，无无关杂物堆放。</w:t>
            </w:r>
          </w:p>
          <w:p w14:paraId="289D2D90">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6</w:t>
            </w:r>
            <w:r>
              <w:rPr>
                <w:rFonts w:ascii="宋体" w:hAnsi="宋体" w:cs="宋体"/>
                <w:color w:val="000000"/>
                <w:kern w:val="0"/>
                <w:sz w:val="18"/>
                <w:szCs w:val="18"/>
              </w:rPr>
              <w:t>.</w:t>
            </w:r>
            <w:r>
              <w:rPr>
                <w:rFonts w:hint="eastAsia" w:ascii="宋体" w:hAnsi="宋体" w:cs="宋体"/>
                <w:color w:val="000000"/>
                <w:kern w:val="0"/>
                <w:sz w:val="18"/>
                <w:szCs w:val="18"/>
              </w:rPr>
              <w:t>操作人员取得特种作业操作证书，并持证上岗。</w:t>
            </w:r>
          </w:p>
          <w:p w14:paraId="543FBB8D">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7</w:t>
            </w:r>
            <w:r>
              <w:rPr>
                <w:rFonts w:ascii="宋体" w:hAnsi="宋体" w:cs="宋体"/>
                <w:color w:val="000000"/>
                <w:kern w:val="0"/>
                <w:sz w:val="18"/>
                <w:szCs w:val="18"/>
              </w:rPr>
              <w:t>.建立健全安全管理</w:t>
            </w:r>
            <w:r>
              <w:rPr>
                <w:rFonts w:hint="eastAsia" w:ascii="宋体" w:hAnsi="宋体" w:cs="宋体"/>
                <w:color w:val="000000"/>
                <w:kern w:val="0"/>
                <w:sz w:val="18"/>
                <w:szCs w:val="18"/>
              </w:rPr>
              <w:t>有关</w:t>
            </w:r>
            <w:r>
              <w:rPr>
                <w:rFonts w:ascii="宋体" w:hAnsi="宋体" w:cs="宋体"/>
                <w:color w:val="000000"/>
                <w:kern w:val="0"/>
                <w:sz w:val="18"/>
                <w:szCs w:val="18"/>
              </w:rPr>
              <w:t>制度，明确责任及主要内容。</w:t>
            </w:r>
          </w:p>
          <w:p w14:paraId="110E3E5A">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8</w:t>
            </w:r>
            <w:r>
              <w:rPr>
                <w:rFonts w:ascii="宋体" w:hAnsi="宋体" w:cs="宋体"/>
                <w:color w:val="000000"/>
                <w:kern w:val="0"/>
                <w:sz w:val="18"/>
                <w:szCs w:val="18"/>
              </w:rPr>
              <w:t>.企业配备专职安全生产管理人员，并取得安全生产管理人员证书。</w:t>
            </w:r>
          </w:p>
          <w:p w14:paraId="6F4047EF">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9.企业配备注册安全工程</w:t>
            </w:r>
          </w:p>
        </w:tc>
        <w:tc>
          <w:tcPr>
            <w:tcW w:w="1308" w:type="dxa"/>
            <w:tcBorders>
              <w:top w:val="single" w:color="auto" w:sz="8" w:space="0"/>
              <w:left w:val="single" w:color="auto" w:sz="4" w:space="0"/>
              <w:bottom w:val="single" w:color="auto" w:sz="4" w:space="0"/>
              <w:right w:val="single" w:color="auto" w:sz="4" w:space="0"/>
            </w:tcBorders>
            <w:vAlign w:val="top"/>
          </w:tcPr>
          <w:p w14:paraId="3F8D92E2">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1.新员工进行三级安全培训教育。</w:t>
            </w:r>
          </w:p>
          <w:p w14:paraId="724070CA">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2.定期开展人员操作技能和岗位安全操作规程培训与考核。</w:t>
            </w:r>
          </w:p>
          <w:p w14:paraId="34DB5424">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3.进行机械设备点检维护知识培训。</w:t>
            </w:r>
          </w:p>
          <w:p w14:paraId="0A318B70">
            <w:pPr>
              <w:widowControl/>
              <w:adjustRightInd/>
              <w:spacing w:line="240" w:lineRule="auto"/>
              <w:jc w:val="both"/>
              <w:rPr>
                <w:rFonts w:hint="eastAsia" w:ascii="宋体" w:hAnsi="宋体" w:cs="宋体"/>
                <w:color w:val="000000"/>
                <w:kern w:val="0"/>
                <w:sz w:val="18"/>
                <w:szCs w:val="18"/>
              </w:rPr>
            </w:pPr>
            <w:r>
              <w:rPr>
                <w:rFonts w:hint="eastAsia" w:ascii="宋体" w:hAnsi="宋体" w:cs="宋体"/>
                <w:color w:val="000000"/>
                <w:kern w:val="0"/>
                <w:sz w:val="18"/>
                <w:szCs w:val="18"/>
              </w:rPr>
              <w:t>4.在员工上岗、转岗前，进行消防和应急管理培训；对在岗人员至少每半年进行一次消防和应急管理的继续教育。</w:t>
            </w:r>
          </w:p>
        </w:tc>
        <w:tc>
          <w:tcPr>
            <w:tcW w:w="689" w:type="dxa"/>
            <w:tcBorders>
              <w:top w:val="single" w:color="auto" w:sz="8" w:space="0"/>
              <w:left w:val="single" w:color="auto" w:sz="4" w:space="0"/>
              <w:bottom w:val="single" w:color="auto" w:sz="4" w:space="0"/>
              <w:right w:val="single" w:color="auto" w:sz="4" w:space="0"/>
            </w:tcBorders>
            <w:vAlign w:val="top"/>
          </w:tcPr>
          <w:p w14:paraId="63A2D1BC">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防静电工作服、防砸、防静电鞋、安全帽、防护手套、防噪耳罩。</w:t>
            </w:r>
          </w:p>
          <w:p w14:paraId="76895CAD">
            <w:pPr>
              <w:widowControl/>
              <w:adjustRightInd/>
              <w:spacing w:line="240" w:lineRule="auto"/>
              <w:jc w:val="both"/>
              <w:rPr>
                <w:rFonts w:ascii="宋体" w:hAnsi="宋体" w:cs="宋体"/>
                <w:color w:val="000000"/>
                <w:kern w:val="0"/>
                <w:sz w:val="18"/>
                <w:szCs w:val="18"/>
              </w:rPr>
            </w:pPr>
          </w:p>
        </w:tc>
        <w:tc>
          <w:tcPr>
            <w:tcW w:w="762" w:type="dxa"/>
            <w:tcBorders>
              <w:top w:val="single" w:color="auto" w:sz="8" w:space="0"/>
              <w:left w:val="single" w:color="auto" w:sz="4" w:space="0"/>
              <w:bottom w:val="single" w:color="auto" w:sz="4" w:space="0"/>
              <w:right w:val="single" w:color="auto" w:sz="4" w:space="0"/>
            </w:tcBorders>
            <w:vAlign w:val="top"/>
          </w:tcPr>
          <w:p w14:paraId="048A880E">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1.编制现场处置方案，经常性开展应急演练。</w:t>
            </w:r>
          </w:p>
          <w:p w14:paraId="43D1E562">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2.建立应急管理机构和应急队伍，经常性培训演练。</w:t>
            </w:r>
          </w:p>
          <w:p w14:paraId="04B3FD36">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3.配备应急器材和物资，确保完好</w:t>
            </w:r>
          </w:p>
        </w:tc>
        <w:tc>
          <w:tcPr>
            <w:tcW w:w="480" w:type="dxa"/>
            <w:tcBorders>
              <w:top w:val="single" w:color="auto" w:sz="8" w:space="0"/>
              <w:left w:val="single" w:color="auto" w:sz="4" w:space="0"/>
              <w:bottom w:val="single" w:color="auto" w:sz="4" w:space="0"/>
              <w:right w:val="single" w:color="auto" w:sz="4" w:space="0"/>
            </w:tcBorders>
            <w:vAlign w:val="center"/>
          </w:tcPr>
          <w:p w14:paraId="7228AAAE">
            <w:pPr>
              <w:widowControl/>
              <w:adjustRightInd/>
              <w:spacing w:line="240" w:lineRule="auto"/>
              <w:jc w:val="center"/>
              <w:rPr>
                <w:rFonts w:ascii="宋体" w:hAnsi="宋体" w:cs="宋体"/>
                <w:color w:val="000000"/>
                <w:kern w:val="0"/>
                <w:sz w:val="18"/>
                <w:szCs w:val="18"/>
              </w:rPr>
            </w:pPr>
          </w:p>
        </w:tc>
        <w:tc>
          <w:tcPr>
            <w:tcW w:w="626" w:type="dxa"/>
            <w:tcBorders>
              <w:top w:val="single" w:color="auto" w:sz="8" w:space="0"/>
              <w:left w:val="single" w:color="auto" w:sz="4" w:space="0"/>
              <w:bottom w:val="single" w:color="auto" w:sz="4" w:space="0"/>
            </w:tcBorders>
            <w:vAlign w:val="center"/>
          </w:tcPr>
          <w:p w14:paraId="5BBA80E5">
            <w:pPr>
              <w:widowControl/>
              <w:adjustRightInd/>
              <w:spacing w:line="240" w:lineRule="auto"/>
              <w:jc w:val="center"/>
              <w:rPr>
                <w:rFonts w:ascii="宋体" w:hAnsi="宋体" w:cs="宋体"/>
                <w:color w:val="000000"/>
                <w:kern w:val="0"/>
                <w:sz w:val="18"/>
                <w:szCs w:val="18"/>
              </w:rPr>
            </w:pPr>
          </w:p>
        </w:tc>
      </w:tr>
    </w:tbl>
    <w:p w14:paraId="6C0BFAA4">
      <w:pPr>
        <w:keepNext w:val="0"/>
        <w:keepLines w:val="0"/>
        <w:pageBreakBefore w:val="0"/>
        <w:widowControl/>
        <w:kinsoku/>
        <w:wordWrap/>
        <w:overflowPunct/>
        <w:topLinePunct w:val="0"/>
        <w:autoSpaceDE/>
        <w:autoSpaceDN/>
        <w:bidi w:val="0"/>
        <w:adjustRightInd/>
        <w:snapToGrid/>
        <w:spacing w:before="159" w:beforeLines="50" w:after="159" w:afterLines="50" w:line="240" w:lineRule="auto"/>
        <w:jc w:val="center"/>
        <w:textAlignment w:val="auto"/>
        <w:rPr>
          <w:rFonts w:hint="eastAsia" w:ascii="黑体" w:hAnsi="Times New Roman" w:eastAsia="黑体" w:cs="Times New Roman"/>
          <w:kern w:val="21"/>
          <w:sz w:val="21"/>
          <w:szCs w:val="20"/>
          <w:lang w:val="en-US" w:eastAsia="zh-CN" w:bidi="ar-SA"/>
        </w:rPr>
      </w:pPr>
      <w:r>
        <w:rPr>
          <w:rFonts w:hint="eastAsia" w:ascii="黑体" w:hAnsi="Times New Roman" w:eastAsia="黑体" w:cs="Times New Roman"/>
          <w:kern w:val="21"/>
          <w:sz w:val="21"/>
          <w:szCs w:val="20"/>
          <w:lang w:val="en-US" w:eastAsia="zh-CN" w:bidi="ar-SA"/>
        </w:rPr>
        <w:t>表B.3 安全风险辨识和管控清单示例(管道燃气经营企业)（续）</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6"/>
        <w:gridCol w:w="600"/>
        <w:gridCol w:w="624"/>
        <w:gridCol w:w="744"/>
        <w:gridCol w:w="1356"/>
        <w:gridCol w:w="624"/>
        <w:gridCol w:w="600"/>
        <w:gridCol w:w="2568"/>
        <w:gridCol w:w="2436"/>
        <w:gridCol w:w="1308"/>
        <w:gridCol w:w="708"/>
        <w:gridCol w:w="732"/>
        <w:gridCol w:w="475"/>
        <w:gridCol w:w="678"/>
      </w:tblGrid>
      <w:tr w14:paraId="0D9471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96" w:type="dxa"/>
            <w:vMerge w:val="restart"/>
            <w:tcBorders>
              <w:top w:val="single" w:color="auto" w:sz="8" w:space="0"/>
              <w:right w:val="single" w:color="auto" w:sz="4" w:space="0"/>
            </w:tcBorders>
            <w:shd w:val="clear" w:color="auto" w:fill="auto"/>
            <w:vAlign w:val="center"/>
          </w:tcPr>
          <w:p w14:paraId="6C1A0869">
            <w:pPr>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序号</w:t>
            </w:r>
          </w:p>
        </w:tc>
        <w:tc>
          <w:tcPr>
            <w:tcW w:w="600" w:type="dxa"/>
            <w:vMerge w:val="restart"/>
            <w:tcBorders>
              <w:top w:val="single" w:color="auto" w:sz="8" w:space="0"/>
              <w:left w:val="single" w:color="auto" w:sz="4" w:space="0"/>
              <w:right w:val="single" w:color="auto" w:sz="4" w:space="0"/>
            </w:tcBorders>
            <w:shd w:val="clear" w:color="auto" w:fill="auto"/>
            <w:vAlign w:val="center"/>
          </w:tcPr>
          <w:p w14:paraId="3821C81B">
            <w:pPr>
              <w:widowControl/>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场所/设备/环节</w:t>
            </w:r>
          </w:p>
        </w:tc>
        <w:tc>
          <w:tcPr>
            <w:tcW w:w="624" w:type="dxa"/>
            <w:vMerge w:val="restart"/>
            <w:tcBorders>
              <w:top w:val="single" w:color="auto" w:sz="8" w:space="0"/>
              <w:left w:val="single" w:color="auto" w:sz="4" w:space="0"/>
              <w:right w:val="single" w:color="auto" w:sz="4" w:space="0"/>
            </w:tcBorders>
            <w:shd w:val="clear" w:color="auto" w:fill="auto"/>
            <w:vAlign w:val="center"/>
          </w:tcPr>
          <w:p w14:paraId="2EAA059F">
            <w:pPr>
              <w:widowControl/>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危险物质/能量</w:t>
            </w:r>
          </w:p>
        </w:tc>
        <w:tc>
          <w:tcPr>
            <w:tcW w:w="744" w:type="dxa"/>
            <w:vMerge w:val="restart"/>
            <w:tcBorders>
              <w:top w:val="single" w:color="auto" w:sz="8" w:space="0"/>
              <w:left w:val="single" w:color="auto" w:sz="4" w:space="0"/>
              <w:right w:val="single" w:color="auto" w:sz="4" w:space="0"/>
            </w:tcBorders>
            <w:shd w:val="clear" w:color="auto" w:fill="auto"/>
            <w:vAlign w:val="center"/>
          </w:tcPr>
          <w:p w14:paraId="0F6EAD83">
            <w:pPr>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风险类型</w:t>
            </w:r>
          </w:p>
        </w:tc>
        <w:tc>
          <w:tcPr>
            <w:tcW w:w="1356" w:type="dxa"/>
            <w:vMerge w:val="restart"/>
            <w:tcBorders>
              <w:top w:val="single" w:color="auto" w:sz="8" w:space="0"/>
              <w:left w:val="single" w:color="auto" w:sz="4" w:space="0"/>
              <w:right w:val="single" w:color="auto" w:sz="4" w:space="0"/>
            </w:tcBorders>
            <w:shd w:val="clear" w:color="auto" w:fill="auto"/>
            <w:vAlign w:val="center"/>
          </w:tcPr>
          <w:p w14:paraId="149C89B0">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触发事件</w:t>
            </w:r>
          </w:p>
        </w:tc>
        <w:tc>
          <w:tcPr>
            <w:tcW w:w="624" w:type="dxa"/>
            <w:vMerge w:val="restart"/>
            <w:tcBorders>
              <w:top w:val="single" w:color="auto" w:sz="8" w:space="0"/>
              <w:left w:val="single" w:color="auto" w:sz="4" w:space="0"/>
              <w:right w:val="single" w:color="auto" w:sz="4" w:space="0"/>
            </w:tcBorders>
            <w:shd w:val="clear" w:color="auto" w:fill="auto"/>
            <w:vAlign w:val="center"/>
          </w:tcPr>
          <w:p w14:paraId="6B62EFBD">
            <w:pPr>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固有风险等级</w:t>
            </w:r>
          </w:p>
        </w:tc>
        <w:tc>
          <w:tcPr>
            <w:tcW w:w="600" w:type="dxa"/>
            <w:vMerge w:val="restart"/>
            <w:tcBorders>
              <w:top w:val="single" w:color="auto" w:sz="8" w:space="0"/>
              <w:left w:val="single" w:color="auto" w:sz="4" w:space="0"/>
              <w:right w:val="single" w:color="auto" w:sz="4" w:space="0"/>
            </w:tcBorders>
            <w:shd w:val="clear" w:color="auto" w:fill="auto"/>
            <w:vAlign w:val="center"/>
          </w:tcPr>
          <w:p w14:paraId="5295F9FA">
            <w:pPr>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残余风险等级</w:t>
            </w:r>
          </w:p>
        </w:tc>
        <w:tc>
          <w:tcPr>
            <w:tcW w:w="7752" w:type="dxa"/>
            <w:gridSpan w:val="5"/>
            <w:tcBorders>
              <w:top w:val="single" w:color="auto" w:sz="8" w:space="0"/>
              <w:left w:val="single" w:color="auto" w:sz="4" w:space="0"/>
              <w:bottom w:val="single" w:color="auto" w:sz="4" w:space="0"/>
              <w:right w:val="single" w:color="auto" w:sz="4" w:space="0"/>
            </w:tcBorders>
            <w:vAlign w:val="center"/>
          </w:tcPr>
          <w:p w14:paraId="55FA0708">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安全风险管控措施</w:t>
            </w:r>
          </w:p>
        </w:tc>
        <w:tc>
          <w:tcPr>
            <w:tcW w:w="475" w:type="dxa"/>
            <w:vMerge w:val="restart"/>
            <w:tcBorders>
              <w:top w:val="single" w:color="auto" w:sz="8" w:space="0"/>
              <w:left w:val="single" w:color="auto" w:sz="4" w:space="0"/>
              <w:right w:val="single" w:color="auto" w:sz="4" w:space="0"/>
            </w:tcBorders>
            <w:vAlign w:val="center"/>
          </w:tcPr>
          <w:p w14:paraId="03D2CDEF">
            <w:pPr>
              <w:adjustRightInd/>
              <w:spacing w:line="240" w:lineRule="auto"/>
              <w:jc w:val="center"/>
              <w:rPr>
                <w:rFonts w:ascii="宋体" w:hAnsi="宋体" w:cs="宋体"/>
                <w:color w:val="000000"/>
                <w:kern w:val="0"/>
                <w:sz w:val="18"/>
                <w:szCs w:val="18"/>
              </w:rPr>
            </w:pPr>
            <w:r>
              <w:rPr>
                <w:rFonts w:hint="eastAsia" w:ascii="宋体" w:hAnsi="宋体" w:cs="宋体"/>
                <w:sz w:val="18"/>
                <w:szCs w:val="20"/>
              </w:rPr>
              <w:t>管控层级</w:t>
            </w:r>
          </w:p>
        </w:tc>
        <w:tc>
          <w:tcPr>
            <w:tcW w:w="678" w:type="dxa"/>
            <w:vMerge w:val="restart"/>
            <w:tcBorders>
              <w:top w:val="single" w:color="auto" w:sz="8" w:space="0"/>
              <w:left w:val="single" w:color="auto" w:sz="4" w:space="0"/>
            </w:tcBorders>
            <w:vAlign w:val="center"/>
          </w:tcPr>
          <w:p w14:paraId="6B87E1B8">
            <w:pPr>
              <w:adjustRightInd/>
              <w:spacing w:line="240" w:lineRule="auto"/>
              <w:jc w:val="center"/>
              <w:rPr>
                <w:rFonts w:ascii="宋体" w:hAnsi="宋体" w:cs="宋体"/>
                <w:color w:val="000000"/>
                <w:kern w:val="0"/>
                <w:sz w:val="18"/>
                <w:szCs w:val="18"/>
              </w:rPr>
            </w:pPr>
            <w:r>
              <w:rPr>
                <w:rFonts w:hint="eastAsia" w:ascii="宋体" w:hAnsi="宋体" w:cs="宋体"/>
                <w:sz w:val="18"/>
                <w:szCs w:val="20"/>
              </w:rPr>
              <w:t>责任部门/责任人</w:t>
            </w:r>
          </w:p>
        </w:tc>
      </w:tr>
      <w:tr w14:paraId="266264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96" w:type="dxa"/>
            <w:vMerge w:val="continue"/>
            <w:tcBorders>
              <w:bottom w:val="single" w:color="auto" w:sz="4" w:space="0"/>
              <w:right w:val="single" w:color="auto" w:sz="4" w:space="0"/>
            </w:tcBorders>
            <w:shd w:val="clear" w:color="auto" w:fill="auto"/>
            <w:vAlign w:val="center"/>
          </w:tcPr>
          <w:p w14:paraId="6E24C7AD">
            <w:pPr>
              <w:widowControl/>
              <w:adjustRightInd/>
              <w:spacing w:line="240" w:lineRule="auto"/>
              <w:jc w:val="left"/>
            </w:pPr>
          </w:p>
        </w:tc>
        <w:tc>
          <w:tcPr>
            <w:tcW w:w="600" w:type="dxa"/>
            <w:vMerge w:val="continue"/>
            <w:tcBorders>
              <w:left w:val="single" w:color="auto" w:sz="4" w:space="0"/>
              <w:bottom w:val="single" w:color="auto" w:sz="4" w:space="0"/>
              <w:right w:val="single" w:color="auto" w:sz="4" w:space="0"/>
            </w:tcBorders>
            <w:shd w:val="clear" w:color="auto" w:fill="auto"/>
            <w:vAlign w:val="center"/>
          </w:tcPr>
          <w:p w14:paraId="294440B0">
            <w:pPr>
              <w:widowControl/>
              <w:adjustRightInd/>
              <w:spacing w:line="240" w:lineRule="auto"/>
              <w:jc w:val="left"/>
            </w:pPr>
          </w:p>
        </w:tc>
        <w:tc>
          <w:tcPr>
            <w:tcW w:w="624" w:type="dxa"/>
            <w:vMerge w:val="continue"/>
            <w:tcBorders>
              <w:left w:val="single" w:color="auto" w:sz="4" w:space="0"/>
              <w:bottom w:val="single" w:color="auto" w:sz="4" w:space="0"/>
              <w:right w:val="single" w:color="auto" w:sz="4" w:space="0"/>
            </w:tcBorders>
            <w:shd w:val="clear" w:color="auto" w:fill="auto"/>
            <w:vAlign w:val="center"/>
          </w:tcPr>
          <w:p w14:paraId="11BD7652">
            <w:pPr>
              <w:widowControl/>
              <w:adjustRightInd/>
              <w:spacing w:line="240" w:lineRule="auto"/>
              <w:jc w:val="left"/>
            </w:pPr>
          </w:p>
        </w:tc>
        <w:tc>
          <w:tcPr>
            <w:tcW w:w="744" w:type="dxa"/>
            <w:vMerge w:val="continue"/>
            <w:tcBorders>
              <w:left w:val="single" w:color="auto" w:sz="4" w:space="0"/>
              <w:bottom w:val="single" w:color="auto" w:sz="4" w:space="0"/>
              <w:right w:val="single" w:color="auto" w:sz="4" w:space="0"/>
            </w:tcBorders>
            <w:shd w:val="clear" w:color="auto" w:fill="auto"/>
            <w:vAlign w:val="center"/>
          </w:tcPr>
          <w:p w14:paraId="509BC969">
            <w:pPr>
              <w:widowControl/>
              <w:adjustRightInd/>
              <w:spacing w:line="240" w:lineRule="auto"/>
              <w:jc w:val="left"/>
            </w:pPr>
          </w:p>
        </w:tc>
        <w:tc>
          <w:tcPr>
            <w:tcW w:w="1356" w:type="dxa"/>
            <w:vMerge w:val="continue"/>
            <w:tcBorders>
              <w:left w:val="single" w:color="auto" w:sz="4" w:space="0"/>
              <w:bottom w:val="single" w:color="auto" w:sz="4" w:space="0"/>
              <w:right w:val="single" w:color="auto" w:sz="4" w:space="0"/>
            </w:tcBorders>
            <w:shd w:val="clear" w:color="auto" w:fill="auto"/>
            <w:vAlign w:val="center"/>
          </w:tcPr>
          <w:p w14:paraId="3BC6DE67">
            <w:pPr>
              <w:widowControl/>
              <w:adjustRightInd/>
              <w:spacing w:line="240" w:lineRule="auto"/>
              <w:jc w:val="left"/>
            </w:pPr>
          </w:p>
        </w:tc>
        <w:tc>
          <w:tcPr>
            <w:tcW w:w="624" w:type="dxa"/>
            <w:vMerge w:val="continue"/>
            <w:tcBorders>
              <w:left w:val="single" w:color="auto" w:sz="4" w:space="0"/>
              <w:bottom w:val="single" w:color="auto" w:sz="4" w:space="0"/>
              <w:right w:val="single" w:color="auto" w:sz="4" w:space="0"/>
            </w:tcBorders>
            <w:shd w:val="clear" w:color="auto" w:fill="auto"/>
            <w:vAlign w:val="center"/>
          </w:tcPr>
          <w:p w14:paraId="47A71D33">
            <w:pPr>
              <w:widowControl/>
              <w:adjustRightInd/>
              <w:spacing w:line="240" w:lineRule="auto"/>
              <w:jc w:val="left"/>
            </w:pPr>
          </w:p>
        </w:tc>
        <w:tc>
          <w:tcPr>
            <w:tcW w:w="600" w:type="dxa"/>
            <w:vMerge w:val="continue"/>
            <w:tcBorders>
              <w:left w:val="single" w:color="auto" w:sz="4" w:space="0"/>
              <w:bottom w:val="single" w:color="auto" w:sz="4" w:space="0"/>
              <w:right w:val="single" w:color="auto" w:sz="4" w:space="0"/>
            </w:tcBorders>
            <w:shd w:val="clear" w:color="auto" w:fill="auto"/>
            <w:vAlign w:val="center"/>
          </w:tcPr>
          <w:p w14:paraId="5795C4CD">
            <w:pPr>
              <w:widowControl/>
              <w:adjustRightInd/>
              <w:spacing w:line="240" w:lineRule="auto"/>
              <w:jc w:val="left"/>
            </w:pPr>
          </w:p>
        </w:tc>
        <w:tc>
          <w:tcPr>
            <w:tcW w:w="2568" w:type="dxa"/>
            <w:tcBorders>
              <w:top w:val="single" w:color="auto" w:sz="8" w:space="0"/>
              <w:left w:val="single" w:color="auto" w:sz="4" w:space="0"/>
              <w:bottom w:val="single" w:color="auto" w:sz="4" w:space="0"/>
              <w:right w:val="single" w:color="auto" w:sz="4" w:space="0"/>
            </w:tcBorders>
            <w:vAlign w:val="center"/>
          </w:tcPr>
          <w:p w14:paraId="703F2FBC">
            <w:pPr>
              <w:adjustRightInd/>
              <w:spacing w:line="240" w:lineRule="auto"/>
              <w:jc w:val="center"/>
              <w:rPr>
                <w:rFonts w:ascii="宋体" w:hAnsi="宋体" w:cs="宋体"/>
                <w:sz w:val="18"/>
                <w:szCs w:val="18"/>
              </w:rPr>
            </w:pPr>
            <w:r>
              <w:rPr>
                <w:rFonts w:hint="eastAsia" w:ascii="宋体" w:hAnsi="宋体" w:cs="宋体"/>
                <w:sz w:val="18"/>
                <w:szCs w:val="18"/>
              </w:rPr>
              <w:t>工程</w:t>
            </w:r>
          </w:p>
          <w:p w14:paraId="5E54076E">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技术</w:t>
            </w:r>
          </w:p>
        </w:tc>
        <w:tc>
          <w:tcPr>
            <w:tcW w:w="2436" w:type="dxa"/>
            <w:tcBorders>
              <w:top w:val="single" w:color="auto" w:sz="8" w:space="0"/>
              <w:left w:val="single" w:color="auto" w:sz="4" w:space="0"/>
              <w:bottom w:val="single" w:color="auto" w:sz="4" w:space="0"/>
              <w:right w:val="single" w:color="auto" w:sz="4" w:space="0"/>
            </w:tcBorders>
            <w:vAlign w:val="center"/>
          </w:tcPr>
          <w:p w14:paraId="5528D211">
            <w:pPr>
              <w:adjustRightInd/>
              <w:spacing w:line="240" w:lineRule="auto"/>
              <w:jc w:val="center"/>
              <w:rPr>
                <w:rFonts w:ascii="宋体" w:hAnsi="宋体" w:cs="宋体"/>
                <w:sz w:val="18"/>
                <w:szCs w:val="18"/>
              </w:rPr>
            </w:pPr>
            <w:r>
              <w:rPr>
                <w:rFonts w:hint="eastAsia" w:ascii="宋体" w:hAnsi="宋体" w:cs="宋体"/>
                <w:sz w:val="18"/>
                <w:szCs w:val="18"/>
              </w:rPr>
              <w:t>安全</w:t>
            </w:r>
          </w:p>
          <w:p w14:paraId="1F9E780C">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管理</w:t>
            </w:r>
          </w:p>
        </w:tc>
        <w:tc>
          <w:tcPr>
            <w:tcW w:w="1308" w:type="dxa"/>
            <w:tcBorders>
              <w:top w:val="single" w:color="auto" w:sz="8" w:space="0"/>
              <w:left w:val="single" w:color="auto" w:sz="4" w:space="0"/>
              <w:bottom w:val="single" w:color="auto" w:sz="4" w:space="0"/>
              <w:right w:val="single" w:color="auto" w:sz="4" w:space="0"/>
            </w:tcBorders>
            <w:vAlign w:val="center"/>
          </w:tcPr>
          <w:p w14:paraId="4A0D8886">
            <w:pPr>
              <w:adjustRightInd/>
              <w:spacing w:line="240" w:lineRule="auto"/>
              <w:jc w:val="center"/>
              <w:rPr>
                <w:rFonts w:ascii="宋体" w:hAnsi="宋体" w:cs="宋体"/>
                <w:sz w:val="18"/>
                <w:szCs w:val="18"/>
              </w:rPr>
            </w:pPr>
            <w:r>
              <w:rPr>
                <w:rFonts w:hint="eastAsia" w:ascii="宋体" w:hAnsi="宋体" w:cs="宋体"/>
                <w:sz w:val="18"/>
                <w:szCs w:val="18"/>
              </w:rPr>
              <w:t>培训</w:t>
            </w:r>
          </w:p>
          <w:p w14:paraId="42D8DC98">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教育</w:t>
            </w:r>
          </w:p>
        </w:tc>
        <w:tc>
          <w:tcPr>
            <w:tcW w:w="708" w:type="dxa"/>
            <w:tcBorders>
              <w:top w:val="single" w:color="auto" w:sz="8" w:space="0"/>
              <w:left w:val="single" w:color="auto" w:sz="4" w:space="0"/>
              <w:bottom w:val="single" w:color="auto" w:sz="4" w:space="0"/>
              <w:right w:val="single" w:color="auto" w:sz="4" w:space="0"/>
            </w:tcBorders>
            <w:vAlign w:val="center"/>
          </w:tcPr>
          <w:p w14:paraId="286D48AB">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个体防护</w:t>
            </w:r>
          </w:p>
        </w:tc>
        <w:tc>
          <w:tcPr>
            <w:tcW w:w="732" w:type="dxa"/>
            <w:tcBorders>
              <w:top w:val="single" w:color="auto" w:sz="8" w:space="0"/>
              <w:left w:val="single" w:color="auto" w:sz="4" w:space="0"/>
              <w:bottom w:val="single" w:color="auto" w:sz="4" w:space="0"/>
              <w:right w:val="single" w:color="auto" w:sz="4" w:space="0"/>
            </w:tcBorders>
            <w:vAlign w:val="center"/>
          </w:tcPr>
          <w:p w14:paraId="21D201A0">
            <w:pPr>
              <w:adjustRightInd/>
              <w:spacing w:line="240" w:lineRule="auto"/>
              <w:jc w:val="center"/>
              <w:rPr>
                <w:rFonts w:hint="eastAsia" w:ascii="宋体" w:hAnsi="宋体" w:cs="宋体"/>
                <w:sz w:val="18"/>
                <w:szCs w:val="18"/>
              </w:rPr>
            </w:pPr>
            <w:r>
              <w:rPr>
                <w:rFonts w:hint="eastAsia" w:ascii="宋体" w:hAnsi="宋体" w:cs="宋体"/>
                <w:sz w:val="18"/>
                <w:szCs w:val="18"/>
              </w:rPr>
              <w:t>应急</w:t>
            </w:r>
          </w:p>
          <w:p w14:paraId="3460B347">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处置</w:t>
            </w:r>
          </w:p>
        </w:tc>
        <w:tc>
          <w:tcPr>
            <w:tcW w:w="475" w:type="dxa"/>
            <w:vMerge w:val="continue"/>
            <w:tcBorders>
              <w:left w:val="single" w:color="auto" w:sz="4" w:space="0"/>
              <w:bottom w:val="single" w:color="auto" w:sz="4" w:space="0"/>
              <w:right w:val="single" w:color="auto" w:sz="4" w:space="0"/>
            </w:tcBorders>
            <w:vAlign w:val="center"/>
          </w:tcPr>
          <w:p w14:paraId="5660AA23">
            <w:pPr>
              <w:widowControl/>
              <w:adjustRightInd/>
              <w:spacing w:line="240" w:lineRule="auto"/>
              <w:jc w:val="left"/>
              <w:rPr>
                <w:rFonts w:hint="eastAsia" w:ascii="宋体" w:hAnsi="宋体" w:cs="宋体"/>
                <w:color w:val="000000"/>
                <w:kern w:val="0"/>
                <w:sz w:val="18"/>
                <w:szCs w:val="18"/>
              </w:rPr>
            </w:pPr>
          </w:p>
        </w:tc>
        <w:tc>
          <w:tcPr>
            <w:tcW w:w="678" w:type="dxa"/>
            <w:vMerge w:val="continue"/>
            <w:tcBorders>
              <w:left w:val="single" w:color="auto" w:sz="4" w:space="0"/>
              <w:bottom w:val="single" w:color="auto" w:sz="4" w:space="0"/>
            </w:tcBorders>
            <w:vAlign w:val="center"/>
          </w:tcPr>
          <w:p w14:paraId="461079DF">
            <w:pPr>
              <w:widowControl/>
              <w:adjustRightInd/>
              <w:spacing w:line="240" w:lineRule="auto"/>
              <w:jc w:val="left"/>
              <w:rPr>
                <w:rFonts w:hint="eastAsia" w:ascii="宋体" w:hAnsi="宋体" w:cs="宋体"/>
                <w:color w:val="000000"/>
                <w:kern w:val="0"/>
                <w:sz w:val="18"/>
                <w:szCs w:val="18"/>
              </w:rPr>
            </w:pPr>
          </w:p>
        </w:tc>
      </w:tr>
      <w:tr w14:paraId="6A57A6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596" w:type="dxa"/>
            <w:tcBorders>
              <w:top w:val="single" w:color="auto" w:sz="8" w:space="0"/>
              <w:bottom w:val="single" w:color="auto" w:sz="4" w:space="0"/>
              <w:right w:val="single" w:color="auto" w:sz="4" w:space="0"/>
            </w:tcBorders>
            <w:shd w:val="clear" w:color="auto" w:fill="auto"/>
            <w:vAlign w:val="center"/>
          </w:tcPr>
          <w:p w14:paraId="498AC181">
            <w:pPr>
              <w:widowControl/>
              <w:adjustRightInd/>
              <w:spacing w:line="240" w:lineRule="auto"/>
              <w:jc w:val="center"/>
              <w:rPr>
                <w:rFonts w:hint="eastAsia" w:ascii="宋体" w:hAnsi="宋体" w:cs="宋体"/>
                <w:color w:val="000000"/>
                <w:kern w:val="0"/>
                <w:sz w:val="18"/>
                <w:szCs w:val="18"/>
              </w:rPr>
            </w:pPr>
          </w:p>
        </w:tc>
        <w:tc>
          <w:tcPr>
            <w:tcW w:w="600" w:type="dxa"/>
            <w:tcBorders>
              <w:top w:val="single" w:color="auto" w:sz="8" w:space="0"/>
              <w:left w:val="single" w:color="auto" w:sz="4" w:space="0"/>
              <w:bottom w:val="single" w:color="auto" w:sz="4" w:space="0"/>
              <w:right w:val="single" w:color="auto" w:sz="4" w:space="0"/>
            </w:tcBorders>
            <w:shd w:val="clear" w:color="auto" w:fill="auto"/>
            <w:vAlign w:val="center"/>
          </w:tcPr>
          <w:p w14:paraId="56295225">
            <w:pPr>
              <w:widowControl/>
              <w:adjustRightInd/>
              <w:spacing w:line="240" w:lineRule="auto"/>
              <w:jc w:val="center"/>
              <w:rPr>
                <w:rFonts w:hint="eastAsia" w:ascii="宋体" w:hAnsi="宋体" w:cs="宋体"/>
                <w:color w:val="000000"/>
                <w:kern w:val="0"/>
                <w:sz w:val="18"/>
                <w:szCs w:val="18"/>
              </w:rPr>
            </w:pPr>
          </w:p>
        </w:tc>
        <w:tc>
          <w:tcPr>
            <w:tcW w:w="624" w:type="dxa"/>
            <w:tcBorders>
              <w:top w:val="single" w:color="auto" w:sz="8" w:space="0"/>
              <w:left w:val="single" w:color="auto" w:sz="4" w:space="0"/>
              <w:bottom w:val="single" w:color="auto" w:sz="4" w:space="0"/>
              <w:right w:val="single" w:color="auto" w:sz="4" w:space="0"/>
            </w:tcBorders>
            <w:shd w:val="clear" w:color="auto" w:fill="auto"/>
            <w:vAlign w:val="center"/>
          </w:tcPr>
          <w:p w14:paraId="7C06B2CB">
            <w:pPr>
              <w:widowControl/>
              <w:adjustRightInd/>
              <w:spacing w:line="240" w:lineRule="auto"/>
              <w:jc w:val="center"/>
              <w:rPr>
                <w:rFonts w:hint="eastAsia" w:ascii="宋体" w:hAnsi="宋体" w:cs="宋体"/>
                <w:color w:val="000000"/>
                <w:kern w:val="0"/>
                <w:sz w:val="18"/>
                <w:szCs w:val="18"/>
              </w:rPr>
            </w:pPr>
          </w:p>
        </w:tc>
        <w:tc>
          <w:tcPr>
            <w:tcW w:w="744" w:type="dxa"/>
            <w:tcBorders>
              <w:top w:val="single" w:color="auto" w:sz="8" w:space="0"/>
              <w:left w:val="single" w:color="auto" w:sz="4" w:space="0"/>
              <w:bottom w:val="single" w:color="auto" w:sz="4" w:space="0"/>
              <w:right w:val="single" w:color="auto" w:sz="4" w:space="0"/>
            </w:tcBorders>
            <w:shd w:val="clear" w:color="auto" w:fill="auto"/>
            <w:vAlign w:val="center"/>
          </w:tcPr>
          <w:p w14:paraId="74F18BBE">
            <w:pPr>
              <w:widowControl/>
              <w:adjustRightInd/>
              <w:spacing w:line="240" w:lineRule="auto"/>
              <w:jc w:val="center"/>
              <w:rPr>
                <w:rFonts w:hint="eastAsia" w:ascii="宋体" w:hAnsi="宋体" w:cs="宋体"/>
                <w:color w:val="000000"/>
                <w:kern w:val="0"/>
                <w:sz w:val="18"/>
                <w:szCs w:val="18"/>
              </w:rPr>
            </w:pPr>
          </w:p>
        </w:tc>
        <w:tc>
          <w:tcPr>
            <w:tcW w:w="1356" w:type="dxa"/>
            <w:tcBorders>
              <w:top w:val="single" w:color="auto" w:sz="8" w:space="0"/>
              <w:left w:val="single" w:color="auto" w:sz="4" w:space="0"/>
              <w:bottom w:val="single" w:color="auto" w:sz="4" w:space="0"/>
              <w:right w:val="single" w:color="auto" w:sz="4" w:space="0"/>
            </w:tcBorders>
            <w:shd w:val="clear" w:color="auto" w:fill="auto"/>
            <w:vAlign w:val="center"/>
          </w:tcPr>
          <w:p w14:paraId="0ACCCFAC">
            <w:pPr>
              <w:widowControl/>
              <w:adjustRightInd/>
              <w:spacing w:line="240" w:lineRule="auto"/>
              <w:rPr>
                <w:rFonts w:hint="eastAsia" w:ascii="宋体" w:hAnsi="宋体" w:cs="宋体"/>
                <w:color w:val="000000"/>
                <w:kern w:val="0"/>
                <w:sz w:val="18"/>
                <w:szCs w:val="18"/>
              </w:rPr>
            </w:pPr>
          </w:p>
        </w:tc>
        <w:tc>
          <w:tcPr>
            <w:tcW w:w="624" w:type="dxa"/>
            <w:tcBorders>
              <w:top w:val="single" w:color="auto" w:sz="8" w:space="0"/>
              <w:left w:val="single" w:color="auto" w:sz="4" w:space="0"/>
              <w:bottom w:val="single" w:color="auto" w:sz="4" w:space="0"/>
              <w:right w:val="single" w:color="auto" w:sz="4" w:space="0"/>
            </w:tcBorders>
            <w:shd w:val="clear" w:color="auto" w:fill="FFFF00"/>
            <w:vAlign w:val="center"/>
          </w:tcPr>
          <w:p w14:paraId="0B685EF7">
            <w:pPr>
              <w:widowControl/>
              <w:adjustRightInd/>
              <w:spacing w:line="240" w:lineRule="auto"/>
              <w:jc w:val="center"/>
              <w:rPr>
                <w:rFonts w:hint="eastAsia" w:ascii="宋体" w:hAnsi="宋体" w:cs="宋体"/>
                <w:color w:val="000000"/>
                <w:kern w:val="0"/>
                <w:sz w:val="18"/>
                <w:szCs w:val="18"/>
              </w:rPr>
            </w:pPr>
          </w:p>
        </w:tc>
        <w:tc>
          <w:tcPr>
            <w:tcW w:w="600" w:type="dxa"/>
            <w:tcBorders>
              <w:top w:val="single" w:color="auto" w:sz="8" w:space="0"/>
              <w:left w:val="single" w:color="auto" w:sz="4" w:space="0"/>
              <w:bottom w:val="single" w:color="auto" w:sz="4" w:space="0"/>
              <w:right w:val="single" w:color="auto" w:sz="4" w:space="0"/>
            </w:tcBorders>
            <w:shd w:val="clear" w:color="auto" w:fill="00B0F0"/>
            <w:vAlign w:val="center"/>
          </w:tcPr>
          <w:p w14:paraId="48587FC1">
            <w:pPr>
              <w:widowControl/>
              <w:adjustRightInd/>
              <w:spacing w:line="240" w:lineRule="auto"/>
              <w:jc w:val="center"/>
              <w:rPr>
                <w:rFonts w:hint="eastAsia" w:ascii="宋体" w:hAnsi="宋体" w:cs="宋体"/>
                <w:color w:val="000000"/>
                <w:kern w:val="0"/>
                <w:sz w:val="18"/>
                <w:szCs w:val="18"/>
              </w:rPr>
            </w:pPr>
          </w:p>
        </w:tc>
        <w:tc>
          <w:tcPr>
            <w:tcW w:w="2568" w:type="dxa"/>
            <w:tcBorders>
              <w:top w:val="single" w:color="auto" w:sz="8" w:space="0"/>
              <w:left w:val="single" w:color="auto" w:sz="4" w:space="0"/>
              <w:bottom w:val="single" w:color="auto" w:sz="4" w:space="0"/>
              <w:right w:val="single" w:color="auto" w:sz="4" w:space="0"/>
            </w:tcBorders>
            <w:vAlign w:val="top"/>
          </w:tcPr>
          <w:p w14:paraId="392C70A0">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阀、止回阀和手动切断阀。</w:t>
            </w:r>
          </w:p>
          <w:p w14:paraId="3668738D">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9.与压缩机连接的管道采取防震措施。</w:t>
            </w:r>
          </w:p>
          <w:p w14:paraId="31CBD50A">
            <w:pPr>
              <w:widowControl/>
              <w:adjustRightInd/>
              <w:spacing w:line="24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10.压缩机的运行应平稳，无异常响声、部件过热、燃气泄漏及异常振动等现象。</w:t>
            </w:r>
          </w:p>
        </w:tc>
        <w:tc>
          <w:tcPr>
            <w:tcW w:w="2436" w:type="dxa"/>
            <w:tcBorders>
              <w:top w:val="single" w:color="auto" w:sz="8" w:space="0"/>
              <w:left w:val="single" w:color="auto" w:sz="4" w:space="0"/>
              <w:bottom w:val="single" w:color="auto" w:sz="4" w:space="0"/>
              <w:right w:val="single" w:color="auto" w:sz="4" w:space="0"/>
            </w:tcBorders>
            <w:vAlign w:val="top"/>
          </w:tcPr>
          <w:p w14:paraId="39107F77">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师。</w:t>
            </w:r>
          </w:p>
          <w:p w14:paraId="10954C48">
            <w:pPr>
              <w:widowControl/>
              <w:adjustRightInd/>
              <w:spacing w:line="24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10</w:t>
            </w:r>
            <w:r>
              <w:rPr>
                <w:rFonts w:ascii="宋体" w:hAnsi="宋体" w:cs="宋体"/>
                <w:color w:val="000000"/>
                <w:kern w:val="0"/>
                <w:sz w:val="18"/>
                <w:szCs w:val="18"/>
              </w:rPr>
              <w:t>.作业人员取得运行、维护和抢修人员证书。</w:t>
            </w:r>
          </w:p>
        </w:tc>
        <w:tc>
          <w:tcPr>
            <w:tcW w:w="1308" w:type="dxa"/>
            <w:tcBorders>
              <w:top w:val="single" w:color="auto" w:sz="8" w:space="0"/>
              <w:left w:val="single" w:color="auto" w:sz="4" w:space="0"/>
              <w:bottom w:val="single" w:color="auto" w:sz="4" w:space="0"/>
              <w:right w:val="single" w:color="auto" w:sz="4" w:space="0"/>
            </w:tcBorders>
            <w:vAlign w:val="top"/>
          </w:tcPr>
          <w:p w14:paraId="31E67849">
            <w:pPr>
              <w:widowControl/>
              <w:adjustRightInd/>
              <w:spacing w:line="240" w:lineRule="auto"/>
              <w:jc w:val="both"/>
              <w:rPr>
                <w:rFonts w:ascii="宋体" w:hAnsi="宋体" w:cs="宋体"/>
                <w:color w:val="000000"/>
                <w:kern w:val="0"/>
                <w:sz w:val="18"/>
                <w:szCs w:val="18"/>
              </w:rPr>
            </w:pPr>
            <w:r>
              <w:rPr>
                <w:rFonts w:hint="eastAsia" w:ascii="宋体" w:hAnsi="宋体" w:cs="宋体"/>
                <w:color w:val="000000"/>
                <w:kern w:val="0"/>
                <w:sz w:val="18"/>
                <w:szCs w:val="18"/>
              </w:rPr>
              <w:t>5.掌握消防设施器材使用方法和逃生自救技能。</w:t>
            </w:r>
          </w:p>
          <w:p w14:paraId="7E08FFFC">
            <w:pPr>
              <w:widowControl/>
              <w:adjustRightInd/>
              <w:spacing w:line="24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6.对外来人员进行安全告知。</w:t>
            </w:r>
          </w:p>
        </w:tc>
        <w:tc>
          <w:tcPr>
            <w:tcW w:w="708" w:type="dxa"/>
            <w:tcBorders>
              <w:top w:val="single" w:color="auto" w:sz="8" w:space="0"/>
              <w:left w:val="single" w:color="auto" w:sz="4" w:space="0"/>
              <w:bottom w:val="single" w:color="auto" w:sz="4" w:space="0"/>
              <w:right w:val="single" w:color="auto" w:sz="4" w:space="0"/>
            </w:tcBorders>
            <w:vAlign w:val="top"/>
          </w:tcPr>
          <w:p w14:paraId="722C840F">
            <w:pPr>
              <w:widowControl/>
              <w:adjustRightInd/>
              <w:spacing w:line="240" w:lineRule="auto"/>
              <w:jc w:val="left"/>
              <w:rPr>
                <w:rFonts w:ascii="宋体" w:hAnsi="宋体" w:cs="宋体"/>
                <w:color w:val="000000"/>
                <w:kern w:val="0"/>
                <w:sz w:val="18"/>
                <w:szCs w:val="18"/>
              </w:rPr>
            </w:pPr>
          </w:p>
        </w:tc>
        <w:tc>
          <w:tcPr>
            <w:tcW w:w="732" w:type="dxa"/>
            <w:tcBorders>
              <w:top w:val="single" w:color="auto" w:sz="8" w:space="0"/>
              <w:left w:val="single" w:color="auto" w:sz="4" w:space="0"/>
              <w:bottom w:val="single" w:color="auto" w:sz="4" w:space="0"/>
              <w:right w:val="single" w:color="auto" w:sz="4" w:space="0"/>
            </w:tcBorders>
            <w:vAlign w:val="top"/>
          </w:tcPr>
          <w:p w14:paraId="14AA91E7">
            <w:pPr>
              <w:widowControl/>
              <w:adjustRightInd/>
              <w:spacing w:line="24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有效。</w:t>
            </w:r>
          </w:p>
        </w:tc>
        <w:tc>
          <w:tcPr>
            <w:tcW w:w="475" w:type="dxa"/>
            <w:tcBorders>
              <w:top w:val="single" w:color="auto" w:sz="8" w:space="0"/>
              <w:left w:val="single" w:color="auto" w:sz="4" w:space="0"/>
              <w:bottom w:val="single" w:color="auto" w:sz="4" w:space="0"/>
              <w:right w:val="single" w:color="auto" w:sz="4" w:space="0"/>
            </w:tcBorders>
            <w:vAlign w:val="center"/>
          </w:tcPr>
          <w:p w14:paraId="46C48417">
            <w:pPr>
              <w:widowControl/>
              <w:adjustRightInd/>
              <w:spacing w:line="240" w:lineRule="auto"/>
              <w:jc w:val="center"/>
              <w:rPr>
                <w:rFonts w:ascii="宋体" w:hAnsi="宋体" w:cs="宋体"/>
                <w:color w:val="000000"/>
                <w:kern w:val="0"/>
                <w:sz w:val="18"/>
                <w:szCs w:val="18"/>
              </w:rPr>
            </w:pPr>
          </w:p>
        </w:tc>
        <w:tc>
          <w:tcPr>
            <w:tcW w:w="678" w:type="dxa"/>
            <w:tcBorders>
              <w:top w:val="single" w:color="auto" w:sz="8" w:space="0"/>
              <w:left w:val="single" w:color="auto" w:sz="4" w:space="0"/>
              <w:bottom w:val="single" w:color="auto" w:sz="4" w:space="0"/>
            </w:tcBorders>
            <w:vAlign w:val="center"/>
          </w:tcPr>
          <w:p w14:paraId="3D8E19F4">
            <w:pPr>
              <w:widowControl/>
              <w:adjustRightInd/>
              <w:spacing w:line="240" w:lineRule="auto"/>
              <w:jc w:val="center"/>
              <w:rPr>
                <w:rFonts w:ascii="宋体" w:hAnsi="宋体" w:cs="宋体"/>
                <w:color w:val="000000"/>
                <w:kern w:val="0"/>
                <w:sz w:val="18"/>
                <w:szCs w:val="18"/>
              </w:rPr>
            </w:pPr>
          </w:p>
        </w:tc>
      </w:tr>
      <w:tr w14:paraId="20E2A9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bottom w:val="single" w:color="auto" w:sz="8" w:space="0"/>
              <w:right w:val="single" w:color="auto" w:sz="4" w:space="0"/>
            </w:tcBorders>
            <w:vAlign w:val="center"/>
          </w:tcPr>
          <w:p w14:paraId="05DABE3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single" w:color="auto" w:sz="4" w:space="0"/>
              <w:bottom w:val="single" w:color="auto" w:sz="8" w:space="0"/>
              <w:right w:val="single" w:color="auto" w:sz="4" w:space="0"/>
            </w:tcBorders>
            <w:vAlign w:val="center"/>
          </w:tcPr>
          <w:p w14:paraId="0975B17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24" w:type="dxa"/>
            <w:tcBorders>
              <w:top w:val="single" w:color="auto" w:sz="4" w:space="0"/>
              <w:left w:val="single" w:color="auto" w:sz="4" w:space="0"/>
              <w:bottom w:val="single" w:color="auto" w:sz="8" w:space="0"/>
              <w:right w:val="single" w:color="auto" w:sz="4" w:space="0"/>
            </w:tcBorders>
            <w:vAlign w:val="center"/>
          </w:tcPr>
          <w:p w14:paraId="7CE96D22">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44" w:type="dxa"/>
            <w:tcBorders>
              <w:top w:val="single" w:color="auto" w:sz="4" w:space="0"/>
              <w:left w:val="single" w:color="auto" w:sz="4" w:space="0"/>
              <w:bottom w:val="single" w:color="auto" w:sz="8" w:space="0"/>
              <w:right w:val="single" w:color="auto" w:sz="4" w:space="0"/>
            </w:tcBorders>
            <w:vAlign w:val="center"/>
          </w:tcPr>
          <w:p w14:paraId="36E4B65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56" w:type="dxa"/>
            <w:tcBorders>
              <w:top w:val="single" w:color="auto" w:sz="4" w:space="0"/>
              <w:left w:val="single" w:color="auto" w:sz="4" w:space="0"/>
              <w:bottom w:val="single" w:color="auto" w:sz="8" w:space="0"/>
              <w:right w:val="single" w:color="auto" w:sz="4" w:space="0"/>
            </w:tcBorders>
            <w:vAlign w:val="center"/>
          </w:tcPr>
          <w:p w14:paraId="6CADF27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24" w:type="dxa"/>
            <w:tcBorders>
              <w:top w:val="single" w:color="auto" w:sz="4" w:space="0"/>
              <w:left w:val="single" w:color="auto" w:sz="4" w:space="0"/>
              <w:bottom w:val="single" w:color="auto" w:sz="8" w:space="0"/>
              <w:right w:val="single" w:color="auto" w:sz="4" w:space="0"/>
            </w:tcBorders>
            <w:vAlign w:val="center"/>
          </w:tcPr>
          <w:p w14:paraId="56C6C57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single" w:color="auto" w:sz="4" w:space="0"/>
              <w:bottom w:val="single" w:color="auto" w:sz="8" w:space="0"/>
              <w:right w:val="single" w:color="auto" w:sz="4" w:space="0"/>
            </w:tcBorders>
            <w:vAlign w:val="center"/>
          </w:tcPr>
          <w:p w14:paraId="47E16B52">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68" w:type="dxa"/>
            <w:tcBorders>
              <w:top w:val="single" w:color="auto" w:sz="4" w:space="0"/>
              <w:left w:val="single" w:color="auto" w:sz="4" w:space="0"/>
              <w:bottom w:val="single" w:color="auto" w:sz="8" w:space="0"/>
              <w:right w:val="single" w:color="auto" w:sz="4" w:space="0"/>
            </w:tcBorders>
            <w:vAlign w:val="center"/>
          </w:tcPr>
          <w:p w14:paraId="5437C90F">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436" w:type="dxa"/>
            <w:tcBorders>
              <w:top w:val="single" w:color="auto" w:sz="4" w:space="0"/>
              <w:left w:val="single" w:color="auto" w:sz="4" w:space="0"/>
              <w:bottom w:val="single" w:color="auto" w:sz="8" w:space="0"/>
              <w:right w:val="single" w:color="auto" w:sz="4" w:space="0"/>
            </w:tcBorders>
            <w:vAlign w:val="center"/>
          </w:tcPr>
          <w:p w14:paraId="674ECCBB">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08" w:type="dxa"/>
            <w:tcBorders>
              <w:top w:val="single" w:color="auto" w:sz="4" w:space="0"/>
              <w:left w:val="single" w:color="auto" w:sz="4" w:space="0"/>
              <w:bottom w:val="single" w:color="auto" w:sz="8" w:space="0"/>
              <w:right w:val="single" w:color="auto" w:sz="4" w:space="0"/>
            </w:tcBorders>
            <w:vAlign w:val="center"/>
          </w:tcPr>
          <w:p w14:paraId="60F0041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8" w:type="dxa"/>
            <w:tcBorders>
              <w:top w:val="single" w:color="auto" w:sz="4" w:space="0"/>
              <w:left w:val="single" w:color="auto" w:sz="4" w:space="0"/>
              <w:bottom w:val="single" w:color="auto" w:sz="8" w:space="0"/>
              <w:right w:val="single" w:color="auto" w:sz="4" w:space="0"/>
            </w:tcBorders>
            <w:vAlign w:val="center"/>
          </w:tcPr>
          <w:p w14:paraId="2C3E9C9B">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32" w:type="dxa"/>
            <w:tcBorders>
              <w:top w:val="single" w:color="auto" w:sz="4" w:space="0"/>
              <w:left w:val="single" w:color="auto" w:sz="4" w:space="0"/>
              <w:bottom w:val="single" w:color="auto" w:sz="8" w:space="0"/>
              <w:right w:val="single" w:color="auto" w:sz="4" w:space="0"/>
            </w:tcBorders>
            <w:vAlign w:val="center"/>
          </w:tcPr>
          <w:p w14:paraId="6AF271FB">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75" w:type="dxa"/>
            <w:tcBorders>
              <w:top w:val="single" w:color="auto" w:sz="4" w:space="0"/>
              <w:left w:val="single" w:color="auto" w:sz="4" w:space="0"/>
              <w:bottom w:val="single" w:color="auto" w:sz="8" w:space="0"/>
              <w:right w:val="single" w:color="auto" w:sz="4" w:space="0"/>
            </w:tcBorders>
            <w:vAlign w:val="center"/>
          </w:tcPr>
          <w:p w14:paraId="3E124E0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8" w:type="dxa"/>
            <w:tcBorders>
              <w:top w:val="single" w:color="auto" w:sz="4" w:space="0"/>
              <w:left w:val="single" w:color="auto" w:sz="4" w:space="0"/>
              <w:bottom w:val="single" w:color="auto" w:sz="8" w:space="0"/>
            </w:tcBorders>
            <w:vAlign w:val="center"/>
          </w:tcPr>
          <w:p w14:paraId="21F89B8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r>
      <w:tr w14:paraId="1567C8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049" w:type="dxa"/>
            <w:gridSpan w:val="14"/>
            <w:tcBorders>
              <w:top w:val="single" w:color="auto" w:sz="8" w:space="0"/>
            </w:tcBorders>
          </w:tcPr>
          <w:p w14:paraId="6E208ED0">
            <w:pPr>
              <w:widowControl w:val="0"/>
              <w:numPr>
                <w:ilvl w:val="0"/>
                <w:numId w:val="34"/>
              </w:numPr>
              <w:autoSpaceDE w:val="0"/>
              <w:autoSpaceDN w:val="0"/>
              <w:ind w:left="811" w:hanging="448"/>
              <w:jc w:val="both"/>
              <w:rPr>
                <w:rFonts w:ascii="宋体" w:hAnsi="Times New Roman" w:eastAsia="宋体" w:cs="Times New Roman"/>
                <w:sz w:val="18"/>
                <w:szCs w:val="18"/>
                <w:lang w:val="en-US" w:eastAsia="zh-CN" w:bidi="ar-SA"/>
              </w:rPr>
            </w:pPr>
            <w:r>
              <w:rPr>
                <w:rFonts w:hint="eastAsia" w:ascii="宋体" w:hAnsi="Times New Roman" w:eastAsia="宋体" w:cs="Times New Roman"/>
                <w:sz w:val="18"/>
                <w:szCs w:val="18"/>
                <w:lang w:val="en-US" w:eastAsia="zh-CN" w:bidi="ar-SA"/>
              </w:rPr>
              <w:t>环节是在指定工作场所，设备实现的主要功能或人员的主要工作内容。</w:t>
            </w:r>
          </w:p>
          <w:p w14:paraId="33608E04">
            <w:pPr>
              <w:widowControl w:val="0"/>
              <w:numPr>
                <w:ilvl w:val="0"/>
                <w:numId w:val="34"/>
              </w:numPr>
              <w:autoSpaceDE w:val="0"/>
              <w:autoSpaceDN w:val="0"/>
              <w:ind w:left="811" w:hanging="448"/>
              <w:jc w:val="both"/>
              <w:rPr>
                <w:rFonts w:ascii="宋体" w:hAnsi="Times New Roman" w:eastAsia="宋体" w:cs="Times New Roman"/>
                <w:sz w:val="18"/>
                <w:szCs w:val="18"/>
                <w:lang w:val="en-US" w:eastAsia="zh-CN" w:bidi="ar-SA"/>
              </w:rPr>
            </w:pPr>
            <w:r>
              <w:rPr>
                <w:rFonts w:hint="eastAsia" w:ascii="宋体" w:hAnsi="Times New Roman" w:eastAsia="宋体" w:cs="Times New Roman"/>
                <w:sz w:val="18"/>
                <w:szCs w:val="18"/>
                <w:lang w:val="en-US" w:eastAsia="zh-CN" w:bidi="ar-SA"/>
              </w:rPr>
              <w:t>危险物质/能量主要指可燃、易燃、易爆、毒害物质或动能、势能、热能、电能、辐射能等。</w:t>
            </w:r>
          </w:p>
          <w:p w14:paraId="45D7951F">
            <w:pPr>
              <w:widowControl w:val="0"/>
              <w:numPr>
                <w:ilvl w:val="0"/>
                <w:numId w:val="34"/>
              </w:numPr>
              <w:autoSpaceDE w:val="0"/>
              <w:autoSpaceDN w:val="0"/>
              <w:ind w:left="811" w:hanging="448"/>
              <w:jc w:val="both"/>
              <w:rPr>
                <w:rFonts w:ascii="宋体" w:hAnsi="Times New Roman" w:eastAsia="宋体" w:cs="Times New Roman"/>
                <w:sz w:val="18"/>
                <w:szCs w:val="18"/>
                <w:lang w:val="en-US" w:eastAsia="zh-CN" w:bidi="ar-SA"/>
              </w:rPr>
            </w:pPr>
            <w:r>
              <w:rPr>
                <w:rFonts w:hint="eastAsia" w:ascii="宋体" w:hAnsi="Times New Roman" w:eastAsia="宋体" w:cs="Times New Roman"/>
                <w:sz w:val="18"/>
                <w:szCs w:val="18"/>
                <w:lang w:val="en-US" w:eastAsia="zh-CN" w:bidi="ar-SA"/>
              </w:rPr>
              <w:t>触发事件是指危险升级为事故时所需要的事件或者条件。</w:t>
            </w:r>
          </w:p>
        </w:tc>
      </w:tr>
    </w:tbl>
    <w:p w14:paraId="7A3AE5BD">
      <w:r>
        <w:br w:type="page"/>
      </w:r>
    </w:p>
    <w:p w14:paraId="1889E848">
      <w:pPr>
        <w:pStyle w:val="147"/>
        <w:spacing w:before="158" w:after="158"/>
      </w:pPr>
      <w:r>
        <w:rPr>
          <w:rFonts w:hint="eastAsia"/>
        </w:rPr>
        <w:t>安全风险辨识和管控清单示例(燃气汽车加气站)</w:t>
      </w:r>
    </w:p>
    <w:p w14:paraId="0C72E377">
      <w:pPr>
        <w:jc w:val="left"/>
      </w:pPr>
      <w:r>
        <w:rPr>
          <w:rFonts w:hint="eastAsia"/>
          <w:bCs/>
          <w:sz w:val="18"/>
          <w:szCs w:val="18"/>
        </w:rPr>
        <w:t>危险源辨识单元：</w:t>
      </w:r>
      <w:r>
        <w:rPr>
          <w:rFonts w:ascii="Times New Roman" w:hAnsi="Times New Roman"/>
          <w:bCs/>
          <w:sz w:val="18"/>
          <w:szCs w:val="18"/>
        </w:rPr>
        <w:t xml:space="preserve"> </w:t>
      </w:r>
      <w:r>
        <w:rPr>
          <w:bCs/>
          <w:sz w:val="18"/>
          <w:szCs w:val="18"/>
        </w:rPr>
        <w:t xml:space="preserve">           </w:t>
      </w:r>
      <w:r>
        <w:rPr>
          <w:rFonts w:hint="eastAsia"/>
          <w:bCs/>
          <w:sz w:val="18"/>
          <w:szCs w:val="18"/>
        </w:rPr>
        <w:t xml:space="preserve">           </w:t>
      </w:r>
      <w:r>
        <w:rPr>
          <w:bCs/>
          <w:sz w:val="18"/>
          <w:szCs w:val="18"/>
        </w:rPr>
        <w:t xml:space="preserve"> </w:t>
      </w:r>
      <w:r>
        <w:rPr>
          <w:rFonts w:hint="eastAsia"/>
          <w:bCs/>
          <w:sz w:val="18"/>
          <w:szCs w:val="18"/>
          <w:lang w:val="en-US" w:eastAsia="zh-CN"/>
        </w:rPr>
        <w:t xml:space="preserve">               </w:t>
      </w:r>
      <w:r>
        <w:rPr>
          <w:bCs/>
          <w:sz w:val="18"/>
          <w:szCs w:val="18"/>
        </w:rPr>
        <w:t xml:space="preserve">      </w:t>
      </w:r>
      <w:r>
        <w:rPr>
          <w:rFonts w:hint="eastAsia"/>
          <w:bCs/>
          <w:sz w:val="18"/>
          <w:szCs w:val="18"/>
        </w:rPr>
        <w:t>审核人：</w:t>
      </w:r>
      <w:r>
        <w:rPr>
          <w:bCs/>
          <w:sz w:val="18"/>
          <w:szCs w:val="18"/>
        </w:rPr>
        <w:t xml:space="preserve">          </w:t>
      </w:r>
      <w:r>
        <w:rPr>
          <w:rFonts w:hint="eastAsia"/>
          <w:bCs/>
          <w:sz w:val="18"/>
          <w:szCs w:val="18"/>
          <w:lang w:val="en-US" w:eastAsia="zh-CN"/>
        </w:rPr>
        <w:t xml:space="preserve">                        </w:t>
      </w:r>
      <w:r>
        <w:rPr>
          <w:bCs/>
          <w:sz w:val="18"/>
          <w:szCs w:val="18"/>
        </w:rPr>
        <w:t xml:space="preserve">                 </w:t>
      </w:r>
      <w:r>
        <w:rPr>
          <w:rFonts w:hint="eastAsia"/>
          <w:bCs/>
          <w:sz w:val="18"/>
          <w:szCs w:val="18"/>
        </w:rPr>
        <w:t>日期：</w:t>
      </w:r>
      <w:r>
        <w:rPr>
          <w:bCs/>
          <w:sz w:val="18"/>
          <w:szCs w:val="18"/>
        </w:rPr>
        <w:t xml:space="preserve">                  </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6"/>
        <w:gridCol w:w="600"/>
        <w:gridCol w:w="625"/>
        <w:gridCol w:w="744"/>
        <w:gridCol w:w="1392"/>
        <w:gridCol w:w="587"/>
        <w:gridCol w:w="576"/>
        <w:gridCol w:w="2604"/>
        <w:gridCol w:w="2437"/>
        <w:gridCol w:w="1308"/>
        <w:gridCol w:w="689"/>
        <w:gridCol w:w="762"/>
        <w:gridCol w:w="480"/>
        <w:gridCol w:w="626"/>
      </w:tblGrid>
      <w:tr w14:paraId="7098C6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596" w:type="dxa"/>
            <w:vMerge w:val="restart"/>
            <w:tcBorders>
              <w:top w:val="single" w:color="auto" w:sz="4" w:space="0"/>
              <w:bottom w:val="single" w:color="auto" w:sz="8" w:space="0"/>
              <w:right w:val="single" w:color="auto" w:sz="4" w:space="0"/>
            </w:tcBorders>
            <w:vAlign w:val="center"/>
          </w:tcPr>
          <w:p w14:paraId="666C9BD0">
            <w:pPr>
              <w:adjustRightInd/>
              <w:spacing w:line="240" w:lineRule="auto"/>
              <w:jc w:val="center"/>
              <w:rPr>
                <w:rFonts w:ascii="宋体" w:hAnsi="宋体" w:cs="宋体"/>
                <w:sz w:val="18"/>
                <w:szCs w:val="18"/>
              </w:rPr>
            </w:pPr>
            <w:r>
              <w:rPr>
                <w:rFonts w:hint="eastAsia" w:ascii="宋体" w:hAnsi="宋体" w:cs="宋体"/>
                <w:color w:val="000000"/>
                <w:kern w:val="0"/>
                <w:sz w:val="18"/>
                <w:szCs w:val="18"/>
              </w:rPr>
              <w:t>序号</w:t>
            </w:r>
          </w:p>
        </w:tc>
        <w:tc>
          <w:tcPr>
            <w:tcW w:w="600" w:type="dxa"/>
            <w:vMerge w:val="restart"/>
            <w:tcBorders>
              <w:top w:val="single" w:color="auto" w:sz="4" w:space="0"/>
              <w:left w:val="single" w:color="auto" w:sz="4" w:space="0"/>
              <w:bottom w:val="single" w:color="auto" w:sz="8" w:space="0"/>
              <w:right w:val="single" w:color="auto" w:sz="4" w:space="0"/>
            </w:tcBorders>
            <w:vAlign w:val="center"/>
          </w:tcPr>
          <w:p w14:paraId="259168F8">
            <w:pPr>
              <w:widowControl/>
              <w:adjustRightInd/>
              <w:spacing w:line="240" w:lineRule="auto"/>
              <w:jc w:val="center"/>
              <w:rPr>
                <w:rFonts w:ascii="宋体" w:hAnsi="宋体" w:cs="宋体"/>
                <w:b/>
                <w:bCs/>
                <w:color w:val="000000"/>
                <w:kern w:val="0"/>
                <w:sz w:val="18"/>
                <w:szCs w:val="18"/>
              </w:rPr>
            </w:pPr>
            <w:r>
              <w:rPr>
                <w:rFonts w:hint="eastAsia" w:ascii="宋体" w:hAnsi="宋体" w:cs="宋体"/>
                <w:color w:val="000000"/>
                <w:kern w:val="0"/>
                <w:sz w:val="18"/>
                <w:szCs w:val="18"/>
              </w:rPr>
              <w:t>场所/设备/环节</w:t>
            </w:r>
          </w:p>
        </w:tc>
        <w:tc>
          <w:tcPr>
            <w:tcW w:w="625" w:type="dxa"/>
            <w:vMerge w:val="restart"/>
            <w:tcBorders>
              <w:top w:val="single" w:color="auto" w:sz="4" w:space="0"/>
              <w:left w:val="single" w:color="auto" w:sz="4" w:space="0"/>
              <w:bottom w:val="single" w:color="auto" w:sz="8" w:space="0"/>
              <w:right w:val="single" w:color="auto" w:sz="4" w:space="0"/>
            </w:tcBorders>
            <w:vAlign w:val="center"/>
          </w:tcPr>
          <w:p w14:paraId="474F2249">
            <w:pPr>
              <w:widowControl/>
              <w:adjustRightInd/>
              <w:spacing w:line="240" w:lineRule="auto"/>
              <w:jc w:val="center"/>
              <w:rPr>
                <w:rFonts w:ascii="宋体" w:hAnsi="宋体" w:cs="宋体"/>
                <w:sz w:val="18"/>
                <w:szCs w:val="18"/>
              </w:rPr>
            </w:pPr>
            <w:r>
              <w:rPr>
                <w:rFonts w:hint="eastAsia" w:ascii="宋体" w:hAnsi="宋体" w:cs="宋体"/>
                <w:color w:val="000000"/>
                <w:kern w:val="0"/>
                <w:sz w:val="18"/>
                <w:szCs w:val="18"/>
              </w:rPr>
              <w:t>危险物质/能量</w:t>
            </w:r>
          </w:p>
        </w:tc>
        <w:tc>
          <w:tcPr>
            <w:tcW w:w="744" w:type="dxa"/>
            <w:vMerge w:val="restart"/>
            <w:tcBorders>
              <w:top w:val="single" w:color="auto" w:sz="4" w:space="0"/>
              <w:left w:val="single" w:color="auto" w:sz="4" w:space="0"/>
              <w:bottom w:val="single" w:color="auto" w:sz="8" w:space="0"/>
              <w:right w:val="single" w:color="auto" w:sz="4" w:space="0"/>
            </w:tcBorders>
            <w:vAlign w:val="center"/>
          </w:tcPr>
          <w:p w14:paraId="327079D0">
            <w:pPr>
              <w:adjustRightInd/>
              <w:spacing w:line="240" w:lineRule="auto"/>
              <w:jc w:val="center"/>
              <w:rPr>
                <w:rFonts w:ascii="宋体" w:hAnsi="宋体" w:cs="宋体"/>
                <w:sz w:val="18"/>
                <w:szCs w:val="18"/>
              </w:rPr>
            </w:pPr>
            <w:r>
              <w:rPr>
                <w:rFonts w:hint="eastAsia" w:ascii="宋体" w:hAnsi="宋体" w:cs="宋体"/>
                <w:color w:val="000000"/>
                <w:kern w:val="0"/>
                <w:sz w:val="18"/>
                <w:szCs w:val="18"/>
              </w:rPr>
              <w:t>风险类型</w:t>
            </w:r>
          </w:p>
        </w:tc>
        <w:tc>
          <w:tcPr>
            <w:tcW w:w="1392" w:type="dxa"/>
            <w:vMerge w:val="restart"/>
            <w:tcBorders>
              <w:top w:val="single" w:color="auto" w:sz="4" w:space="0"/>
              <w:left w:val="single" w:color="auto" w:sz="4" w:space="0"/>
              <w:bottom w:val="single" w:color="auto" w:sz="8" w:space="0"/>
              <w:right w:val="single" w:color="auto" w:sz="4" w:space="0"/>
            </w:tcBorders>
            <w:vAlign w:val="center"/>
          </w:tcPr>
          <w:p w14:paraId="74340E6E">
            <w:pPr>
              <w:adjustRightInd/>
              <w:spacing w:line="240" w:lineRule="auto"/>
              <w:jc w:val="center"/>
              <w:rPr>
                <w:rFonts w:ascii="宋体" w:hAnsi="宋体" w:cs="宋体"/>
                <w:sz w:val="18"/>
                <w:szCs w:val="18"/>
              </w:rPr>
            </w:pPr>
            <w:r>
              <w:rPr>
                <w:rFonts w:hint="eastAsia" w:ascii="宋体" w:hAnsi="宋体" w:cs="宋体"/>
                <w:sz w:val="18"/>
                <w:szCs w:val="18"/>
              </w:rPr>
              <w:t>触发事件</w:t>
            </w:r>
          </w:p>
        </w:tc>
        <w:tc>
          <w:tcPr>
            <w:tcW w:w="587" w:type="dxa"/>
            <w:vMerge w:val="restart"/>
            <w:tcBorders>
              <w:top w:val="single" w:color="auto" w:sz="4" w:space="0"/>
              <w:left w:val="single" w:color="auto" w:sz="4" w:space="0"/>
              <w:bottom w:val="single" w:color="auto" w:sz="8" w:space="0"/>
              <w:right w:val="single" w:color="auto" w:sz="4" w:space="0"/>
            </w:tcBorders>
            <w:vAlign w:val="center"/>
          </w:tcPr>
          <w:p w14:paraId="19F525EA">
            <w:pPr>
              <w:adjustRightInd/>
              <w:spacing w:line="240" w:lineRule="auto"/>
              <w:jc w:val="center"/>
              <w:rPr>
                <w:rFonts w:ascii="宋体" w:hAnsi="宋体" w:cs="宋体"/>
                <w:sz w:val="18"/>
                <w:szCs w:val="18"/>
              </w:rPr>
            </w:pPr>
            <w:r>
              <w:rPr>
                <w:rFonts w:hint="eastAsia" w:ascii="宋体" w:hAnsi="宋体" w:cs="宋体"/>
                <w:color w:val="000000"/>
                <w:kern w:val="0"/>
                <w:sz w:val="18"/>
                <w:szCs w:val="18"/>
              </w:rPr>
              <w:t>固有风险等级</w:t>
            </w:r>
          </w:p>
        </w:tc>
        <w:tc>
          <w:tcPr>
            <w:tcW w:w="576" w:type="dxa"/>
            <w:vMerge w:val="restart"/>
            <w:tcBorders>
              <w:top w:val="single" w:color="auto" w:sz="4" w:space="0"/>
              <w:left w:val="single" w:color="auto" w:sz="4" w:space="0"/>
              <w:bottom w:val="single" w:color="auto" w:sz="8" w:space="0"/>
              <w:right w:val="single" w:color="auto" w:sz="4" w:space="0"/>
            </w:tcBorders>
            <w:vAlign w:val="center"/>
          </w:tcPr>
          <w:p w14:paraId="29EB732D">
            <w:pPr>
              <w:adjustRightInd/>
              <w:spacing w:line="240" w:lineRule="auto"/>
              <w:jc w:val="center"/>
              <w:rPr>
                <w:rFonts w:ascii="宋体" w:hAnsi="宋体" w:cs="宋体"/>
                <w:sz w:val="18"/>
                <w:szCs w:val="18"/>
              </w:rPr>
            </w:pPr>
            <w:r>
              <w:rPr>
                <w:rFonts w:hint="eastAsia" w:ascii="宋体" w:hAnsi="宋体" w:cs="宋体"/>
                <w:color w:val="000000"/>
                <w:kern w:val="0"/>
                <w:sz w:val="18"/>
                <w:szCs w:val="18"/>
              </w:rPr>
              <w:t>残余风险等级</w:t>
            </w:r>
          </w:p>
        </w:tc>
        <w:tc>
          <w:tcPr>
            <w:tcW w:w="7800" w:type="dxa"/>
            <w:gridSpan w:val="5"/>
            <w:tcBorders>
              <w:top w:val="single" w:color="auto" w:sz="4" w:space="0"/>
              <w:left w:val="single" w:color="auto" w:sz="4" w:space="0"/>
              <w:bottom w:val="single" w:color="auto" w:sz="8" w:space="0"/>
              <w:right w:val="single" w:color="auto" w:sz="4" w:space="0"/>
            </w:tcBorders>
            <w:vAlign w:val="center"/>
          </w:tcPr>
          <w:p w14:paraId="5654425F">
            <w:pPr>
              <w:widowControl/>
              <w:adjustRightInd/>
              <w:spacing w:line="240" w:lineRule="auto"/>
              <w:jc w:val="center"/>
              <w:rPr>
                <w:rFonts w:ascii="宋体" w:hAnsi="宋体" w:cs="宋体"/>
                <w:sz w:val="18"/>
                <w:szCs w:val="18"/>
              </w:rPr>
            </w:pPr>
            <w:r>
              <w:rPr>
                <w:rFonts w:hint="eastAsia" w:ascii="宋体" w:hAnsi="宋体" w:cs="宋体"/>
                <w:sz w:val="18"/>
                <w:szCs w:val="18"/>
              </w:rPr>
              <w:t>安全风险管控措施</w:t>
            </w:r>
          </w:p>
        </w:tc>
        <w:tc>
          <w:tcPr>
            <w:tcW w:w="480" w:type="dxa"/>
            <w:vMerge w:val="restart"/>
            <w:tcBorders>
              <w:top w:val="single" w:color="auto" w:sz="4" w:space="0"/>
              <w:left w:val="single" w:color="auto" w:sz="4" w:space="0"/>
              <w:bottom w:val="single" w:color="auto" w:sz="8" w:space="0"/>
              <w:right w:val="single" w:color="auto" w:sz="4" w:space="0"/>
            </w:tcBorders>
            <w:vAlign w:val="center"/>
          </w:tcPr>
          <w:p w14:paraId="0FABF4C7">
            <w:pPr>
              <w:adjustRightInd/>
              <w:spacing w:line="240" w:lineRule="auto"/>
              <w:jc w:val="center"/>
              <w:rPr>
                <w:rFonts w:ascii="宋体" w:hAnsi="宋体" w:cs="宋体"/>
                <w:sz w:val="18"/>
                <w:szCs w:val="20"/>
              </w:rPr>
            </w:pPr>
            <w:r>
              <w:rPr>
                <w:rFonts w:hint="eastAsia" w:ascii="宋体" w:hAnsi="宋体" w:cs="宋体"/>
                <w:sz w:val="18"/>
                <w:szCs w:val="20"/>
              </w:rPr>
              <w:t>管控层级</w:t>
            </w:r>
          </w:p>
        </w:tc>
        <w:tc>
          <w:tcPr>
            <w:tcW w:w="626" w:type="dxa"/>
            <w:vMerge w:val="restart"/>
            <w:tcBorders>
              <w:left w:val="single" w:color="auto" w:sz="4" w:space="0"/>
              <w:bottom w:val="single" w:color="auto" w:sz="8" w:space="0"/>
            </w:tcBorders>
            <w:vAlign w:val="center"/>
          </w:tcPr>
          <w:p w14:paraId="7DEEC3FF">
            <w:pPr>
              <w:adjustRightInd/>
              <w:spacing w:line="240" w:lineRule="auto"/>
              <w:jc w:val="center"/>
              <w:rPr>
                <w:rFonts w:ascii="宋体" w:hAnsi="宋体" w:cs="宋体"/>
                <w:sz w:val="18"/>
                <w:szCs w:val="20"/>
              </w:rPr>
            </w:pPr>
            <w:r>
              <w:rPr>
                <w:rFonts w:hint="eastAsia" w:ascii="宋体" w:hAnsi="宋体" w:cs="宋体"/>
                <w:sz w:val="18"/>
                <w:szCs w:val="20"/>
              </w:rPr>
              <w:t>责任部门/责任人</w:t>
            </w:r>
          </w:p>
        </w:tc>
      </w:tr>
      <w:tr w14:paraId="13B2EE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596" w:type="dxa"/>
            <w:vMerge w:val="continue"/>
            <w:tcBorders>
              <w:right w:val="single" w:color="auto" w:sz="4" w:space="0"/>
            </w:tcBorders>
            <w:vAlign w:val="center"/>
          </w:tcPr>
          <w:p w14:paraId="59F8AEB7">
            <w:pPr>
              <w:widowControl/>
              <w:adjustRightInd/>
              <w:spacing w:line="240" w:lineRule="auto"/>
              <w:jc w:val="left"/>
              <w:rPr>
                <w:rFonts w:ascii="宋体" w:hAnsi="宋体" w:cs="宋体"/>
                <w:sz w:val="18"/>
                <w:szCs w:val="18"/>
              </w:rPr>
            </w:pPr>
          </w:p>
        </w:tc>
        <w:tc>
          <w:tcPr>
            <w:tcW w:w="600" w:type="dxa"/>
            <w:vMerge w:val="continue"/>
            <w:tcBorders>
              <w:left w:val="single" w:color="auto" w:sz="4" w:space="0"/>
              <w:right w:val="single" w:color="auto" w:sz="4" w:space="0"/>
            </w:tcBorders>
            <w:vAlign w:val="center"/>
          </w:tcPr>
          <w:p w14:paraId="6A6609E8">
            <w:pPr>
              <w:widowControl/>
              <w:adjustRightInd/>
              <w:spacing w:line="240" w:lineRule="auto"/>
              <w:jc w:val="left"/>
              <w:rPr>
                <w:rFonts w:ascii="宋体" w:hAnsi="宋体" w:cs="宋体"/>
                <w:b/>
                <w:bCs/>
                <w:color w:val="000000"/>
                <w:kern w:val="0"/>
                <w:sz w:val="18"/>
                <w:szCs w:val="18"/>
              </w:rPr>
            </w:pPr>
          </w:p>
        </w:tc>
        <w:tc>
          <w:tcPr>
            <w:tcW w:w="625" w:type="dxa"/>
            <w:vMerge w:val="continue"/>
            <w:tcBorders>
              <w:left w:val="single" w:color="auto" w:sz="4" w:space="0"/>
              <w:right w:val="single" w:color="auto" w:sz="4" w:space="0"/>
            </w:tcBorders>
            <w:vAlign w:val="center"/>
          </w:tcPr>
          <w:p w14:paraId="196143B2">
            <w:pPr>
              <w:widowControl/>
              <w:adjustRightInd/>
              <w:spacing w:line="240" w:lineRule="auto"/>
              <w:jc w:val="left"/>
              <w:rPr>
                <w:rFonts w:ascii="宋体" w:hAnsi="宋体" w:cs="宋体"/>
                <w:sz w:val="18"/>
                <w:szCs w:val="18"/>
              </w:rPr>
            </w:pPr>
          </w:p>
        </w:tc>
        <w:tc>
          <w:tcPr>
            <w:tcW w:w="744" w:type="dxa"/>
            <w:vMerge w:val="continue"/>
            <w:tcBorders>
              <w:left w:val="single" w:color="auto" w:sz="4" w:space="0"/>
              <w:right w:val="single" w:color="auto" w:sz="4" w:space="0"/>
            </w:tcBorders>
            <w:vAlign w:val="center"/>
          </w:tcPr>
          <w:p w14:paraId="49AA1731">
            <w:pPr>
              <w:widowControl/>
              <w:adjustRightInd/>
              <w:spacing w:line="240" w:lineRule="auto"/>
              <w:jc w:val="left"/>
              <w:rPr>
                <w:rFonts w:ascii="宋体" w:hAnsi="宋体" w:cs="宋体"/>
                <w:sz w:val="18"/>
                <w:szCs w:val="18"/>
              </w:rPr>
            </w:pPr>
          </w:p>
        </w:tc>
        <w:tc>
          <w:tcPr>
            <w:tcW w:w="1392" w:type="dxa"/>
            <w:vMerge w:val="continue"/>
            <w:tcBorders>
              <w:left w:val="single" w:color="auto" w:sz="4" w:space="0"/>
              <w:right w:val="single" w:color="auto" w:sz="4" w:space="0"/>
            </w:tcBorders>
            <w:vAlign w:val="center"/>
          </w:tcPr>
          <w:p w14:paraId="0A844EFA">
            <w:pPr>
              <w:widowControl/>
              <w:adjustRightInd/>
              <w:spacing w:line="240" w:lineRule="auto"/>
              <w:jc w:val="left"/>
              <w:rPr>
                <w:rFonts w:ascii="宋体" w:hAnsi="宋体" w:cs="宋体"/>
                <w:sz w:val="18"/>
                <w:szCs w:val="18"/>
              </w:rPr>
            </w:pPr>
          </w:p>
        </w:tc>
        <w:tc>
          <w:tcPr>
            <w:tcW w:w="587" w:type="dxa"/>
            <w:vMerge w:val="continue"/>
            <w:tcBorders>
              <w:left w:val="single" w:color="auto" w:sz="4" w:space="0"/>
              <w:right w:val="single" w:color="auto" w:sz="4" w:space="0"/>
            </w:tcBorders>
            <w:vAlign w:val="center"/>
          </w:tcPr>
          <w:p w14:paraId="48F5FA3F">
            <w:pPr>
              <w:widowControl/>
              <w:adjustRightInd/>
              <w:spacing w:line="240" w:lineRule="auto"/>
              <w:jc w:val="left"/>
              <w:rPr>
                <w:rFonts w:ascii="宋体" w:hAnsi="宋体" w:cs="宋体"/>
                <w:sz w:val="18"/>
                <w:szCs w:val="18"/>
              </w:rPr>
            </w:pPr>
          </w:p>
        </w:tc>
        <w:tc>
          <w:tcPr>
            <w:tcW w:w="576" w:type="dxa"/>
            <w:vMerge w:val="continue"/>
            <w:tcBorders>
              <w:left w:val="single" w:color="auto" w:sz="4" w:space="0"/>
              <w:right w:val="single" w:color="auto" w:sz="4" w:space="0"/>
            </w:tcBorders>
            <w:vAlign w:val="center"/>
          </w:tcPr>
          <w:p w14:paraId="645BCFCE">
            <w:pPr>
              <w:widowControl/>
              <w:adjustRightInd/>
              <w:spacing w:line="240" w:lineRule="auto"/>
              <w:jc w:val="left"/>
              <w:rPr>
                <w:rFonts w:ascii="宋体" w:hAnsi="宋体" w:cs="宋体"/>
                <w:sz w:val="18"/>
                <w:szCs w:val="18"/>
              </w:rPr>
            </w:pPr>
          </w:p>
        </w:tc>
        <w:tc>
          <w:tcPr>
            <w:tcW w:w="2604" w:type="dxa"/>
            <w:tcBorders>
              <w:top w:val="single" w:color="auto" w:sz="4" w:space="0"/>
              <w:left w:val="single" w:color="auto" w:sz="4" w:space="0"/>
              <w:bottom w:val="single" w:color="auto" w:sz="8" w:space="0"/>
              <w:right w:val="single" w:color="auto" w:sz="4" w:space="0"/>
            </w:tcBorders>
            <w:vAlign w:val="center"/>
          </w:tcPr>
          <w:p w14:paraId="304FC4A4">
            <w:pPr>
              <w:adjustRightInd/>
              <w:spacing w:line="240" w:lineRule="auto"/>
              <w:jc w:val="center"/>
              <w:rPr>
                <w:rFonts w:ascii="宋体" w:hAnsi="宋体" w:cs="宋体"/>
                <w:sz w:val="18"/>
                <w:szCs w:val="18"/>
              </w:rPr>
            </w:pPr>
            <w:r>
              <w:rPr>
                <w:rFonts w:hint="eastAsia" w:ascii="宋体" w:hAnsi="宋体" w:cs="宋体"/>
                <w:sz w:val="18"/>
                <w:szCs w:val="18"/>
              </w:rPr>
              <w:t>工程</w:t>
            </w:r>
          </w:p>
          <w:p w14:paraId="30CD906F">
            <w:pPr>
              <w:adjustRightInd/>
              <w:spacing w:line="240" w:lineRule="auto"/>
              <w:jc w:val="center"/>
              <w:rPr>
                <w:rFonts w:hint="eastAsia" w:ascii="宋体" w:hAnsi="宋体" w:cs="宋体"/>
                <w:sz w:val="18"/>
                <w:szCs w:val="18"/>
              </w:rPr>
            </w:pPr>
            <w:r>
              <w:rPr>
                <w:rFonts w:hint="eastAsia" w:ascii="宋体" w:hAnsi="宋体" w:cs="宋体"/>
                <w:sz w:val="18"/>
                <w:szCs w:val="18"/>
              </w:rPr>
              <w:t>技术</w:t>
            </w:r>
          </w:p>
        </w:tc>
        <w:tc>
          <w:tcPr>
            <w:tcW w:w="2437" w:type="dxa"/>
            <w:tcBorders>
              <w:top w:val="single" w:color="auto" w:sz="4" w:space="0"/>
              <w:left w:val="single" w:color="auto" w:sz="4" w:space="0"/>
              <w:bottom w:val="single" w:color="auto" w:sz="8" w:space="0"/>
              <w:right w:val="single" w:color="auto" w:sz="4" w:space="0"/>
            </w:tcBorders>
            <w:vAlign w:val="center"/>
          </w:tcPr>
          <w:p w14:paraId="19933B4E">
            <w:pPr>
              <w:adjustRightInd/>
              <w:spacing w:line="240" w:lineRule="auto"/>
              <w:jc w:val="center"/>
              <w:rPr>
                <w:rFonts w:ascii="宋体" w:hAnsi="宋体" w:cs="宋体"/>
                <w:sz w:val="18"/>
                <w:szCs w:val="18"/>
              </w:rPr>
            </w:pPr>
            <w:r>
              <w:rPr>
                <w:rFonts w:hint="eastAsia" w:ascii="宋体" w:hAnsi="宋体" w:cs="宋体"/>
                <w:sz w:val="18"/>
                <w:szCs w:val="18"/>
              </w:rPr>
              <w:t>安全</w:t>
            </w:r>
          </w:p>
          <w:p w14:paraId="25445ADD">
            <w:pPr>
              <w:adjustRightInd/>
              <w:spacing w:line="240" w:lineRule="auto"/>
              <w:jc w:val="center"/>
              <w:rPr>
                <w:rFonts w:hint="eastAsia" w:ascii="宋体" w:hAnsi="宋体" w:cs="宋体"/>
                <w:sz w:val="18"/>
                <w:szCs w:val="18"/>
              </w:rPr>
            </w:pPr>
            <w:r>
              <w:rPr>
                <w:rFonts w:hint="eastAsia" w:ascii="宋体" w:hAnsi="宋体" w:cs="宋体"/>
                <w:sz w:val="18"/>
                <w:szCs w:val="18"/>
              </w:rPr>
              <w:t>管理</w:t>
            </w:r>
          </w:p>
        </w:tc>
        <w:tc>
          <w:tcPr>
            <w:tcW w:w="1308" w:type="dxa"/>
            <w:tcBorders>
              <w:top w:val="single" w:color="auto" w:sz="4" w:space="0"/>
              <w:left w:val="single" w:color="auto" w:sz="4" w:space="0"/>
              <w:bottom w:val="single" w:color="auto" w:sz="8" w:space="0"/>
              <w:right w:val="single" w:color="auto" w:sz="4" w:space="0"/>
            </w:tcBorders>
            <w:vAlign w:val="center"/>
          </w:tcPr>
          <w:p w14:paraId="25DCCD6C">
            <w:pPr>
              <w:adjustRightInd/>
              <w:spacing w:line="240" w:lineRule="auto"/>
              <w:jc w:val="center"/>
              <w:rPr>
                <w:rFonts w:ascii="宋体" w:hAnsi="宋体" w:cs="宋体"/>
                <w:sz w:val="18"/>
                <w:szCs w:val="18"/>
              </w:rPr>
            </w:pPr>
            <w:r>
              <w:rPr>
                <w:rFonts w:hint="eastAsia" w:ascii="宋体" w:hAnsi="宋体" w:cs="宋体"/>
                <w:sz w:val="18"/>
                <w:szCs w:val="18"/>
              </w:rPr>
              <w:t>培训</w:t>
            </w:r>
          </w:p>
          <w:p w14:paraId="41248B45">
            <w:pPr>
              <w:adjustRightInd/>
              <w:spacing w:line="240" w:lineRule="auto"/>
              <w:jc w:val="center"/>
              <w:rPr>
                <w:rFonts w:hint="eastAsia" w:ascii="宋体" w:hAnsi="宋体" w:cs="宋体"/>
                <w:sz w:val="18"/>
                <w:szCs w:val="18"/>
              </w:rPr>
            </w:pPr>
            <w:r>
              <w:rPr>
                <w:rFonts w:hint="eastAsia" w:ascii="宋体" w:hAnsi="宋体" w:cs="宋体"/>
                <w:sz w:val="18"/>
                <w:szCs w:val="18"/>
              </w:rPr>
              <w:t>教育</w:t>
            </w:r>
          </w:p>
        </w:tc>
        <w:tc>
          <w:tcPr>
            <w:tcW w:w="689" w:type="dxa"/>
            <w:tcBorders>
              <w:top w:val="single" w:color="auto" w:sz="4" w:space="0"/>
              <w:left w:val="single" w:color="auto" w:sz="4" w:space="0"/>
              <w:bottom w:val="single" w:color="auto" w:sz="8" w:space="0"/>
              <w:right w:val="single" w:color="auto" w:sz="4" w:space="0"/>
            </w:tcBorders>
            <w:vAlign w:val="center"/>
          </w:tcPr>
          <w:p w14:paraId="0BBC99FF">
            <w:pPr>
              <w:adjustRightInd/>
              <w:spacing w:line="240" w:lineRule="auto"/>
              <w:jc w:val="center"/>
              <w:rPr>
                <w:rFonts w:hint="eastAsia" w:ascii="宋体" w:hAnsi="宋体" w:cs="宋体"/>
                <w:sz w:val="18"/>
                <w:szCs w:val="18"/>
              </w:rPr>
            </w:pPr>
            <w:r>
              <w:rPr>
                <w:rFonts w:hint="eastAsia" w:ascii="宋体" w:hAnsi="宋体" w:cs="宋体"/>
                <w:sz w:val="18"/>
                <w:szCs w:val="18"/>
              </w:rPr>
              <w:t>个体防护</w:t>
            </w:r>
          </w:p>
        </w:tc>
        <w:tc>
          <w:tcPr>
            <w:tcW w:w="762" w:type="dxa"/>
            <w:tcBorders>
              <w:top w:val="single" w:color="auto" w:sz="4" w:space="0"/>
              <w:left w:val="single" w:color="auto" w:sz="4" w:space="0"/>
              <w:bottom w:val="single" w:color="auto" w:sz="8" w:space="0"/>
              <w:right w:val="single" w:color="auto" w:sz="4" w:space="0"/>
            </w:tcBorders>
            <w:vAlign w:val="center"/>
          </w:tcPr>
          <w:p w14:paraId="52B7866D">
            <w:pPr>
              <w:adjustRightInd/>
              <w:spacing w:line="240" w:lineRule="auto"/>
              <w:jc w:val="center"/>
              <w:rPr>
                <w:rFonts w:hint="eastAsia" w:ascii="宋体" w:hAnsi="宋体" w:cs="宋体"/>
                <w:sz w:val="18"/>
                <w:szCs w:val="18"/>
              </w:rPr>
            </w:pPr>
            <w:r>
              <w:rPr>
                <w:rFonts w:hint="eastAsia" w:ascii="宋体" w:hAnsi="宋体" w:cs="宋体"/>
                <w:sz w:val="18"/>
                <w:szCs w:val="18"/>
              </w:rPr>
              <w:t>应急</w:t>
            </w:r>
          </w:p>
          <w:p w14:paraId="5DB82796">
            <w:pPr>
              <w:adjustRightInd/>
              <w:spacing w:line="240" w:lineRule="auto"/>
              <w:jc w:val="center"/>
              <w:rPr>
                <w:rFonts w:hint="eastAsia" w:ascii="宋体" w:hAnsi="宋体" w:cs="宋体"/>
                <w:sz w:val="18"/>
                <w:szCs w:val="18"/>
              </w:rPr>
            </w:pPr>
            <w:r>
              <w:rPr>
                <w:rFonts w:hint="eastAsia" w:ascii="宋体" w:hAnsi="宋体" w:cs="宋体"/>
                <w:sz w:val="18"/>
                <w:szCs w:val="18"/>
              </w:rPr>
              <w:t>处置</w:t>
            </w:r>
          </w:p>
        </w:tc>
        <w:tc>
          <w:tcPr>
            <w:tcW w:w="480" w:type="dxa"/>
            <w:vMerge w:val="continue"/>
            <w:tcBorders>
              <w:left w:val="single" w:color="auto" w:sz="4" w:space="0"/>
              <w:right w:val="single" w:color="auto" w:sz="4" w:space="0"/>
            </w:tcBorders>
            <w:vAlign w:val="center"/>
          </w:tcPr>
          <w:p w14:paraId="05DF16E4">
            <w:pPr>
              <w:widowControl/>
              <w:adjustRightInd/>
              <w:spacing w:line="240" w:lineRule="auto"/>
              <w:jc w:val="left"/>
              <w:rPr>
                <w:rFonts w:ascii="宋体" w:hAnsi="宋体" w:cs="宋体"/>
                <w:sz w:val="18"/>
                <w:szCs w:val="20"/>
              </w:rPr>
            </w:pPr>
          </w:p>
        </w:tc>
        <w:tc>
          <w:tcPr>
            <w:tcW w:w="626" w:type="dxa"/>
            <w:vMerge w:val="continue"/>
            <w:tcBorders>
              <w:left w:val="single" w:color="auto" w:sz="4" w:space="0"/>
            </w:tcBorders>
            <w:vAlign w:val="center"/>
          </w:tcPr>
          <w:p w14:paraId="1FD362EF">
            <w:pPr>
              <w:widowControl/>
              <w:adjustRightInd/>
              <w:spacing w:line="240" w:lineRule="auto"/>
              <w:jc w:val="left"/>
              <w:rPr>
                <w:rFonts w:ascii="宋体" w:hAnsi="宋体" w:cs="宋体"/>
                <w:sz w:val="18"/>
                <w:szCs w:val="20"/>
              </w:rPr>
            </w:pPr>
          </w:p>
        </w:tc>
      </w:tr>
      <w:tr w14:paraId="401450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8" w:space="0"/>
              <w:bottom w:val="single" w:color="auto" w:sz="4" w:space="0"/>
              <w:right w:val="single" w:color="auto" w:sz="4" w:space="0"/>
            </w:tcBorders>
            <w:shd w:val="clear" w:color="auto" w:fill="auto"/>
            <w:vAlign w:val="center"/>
          </w:tcPr>
          <w:p w14:paraId="2A1DC9CB">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0" w:type="dxa"/>
            <w:tcBorders>
              <w:top w:val="single" w:color="auto" w:sz="8" w:space="0"/>
              <w:left w:val="single" w:color="auto" w:sz="4" w:space="0"/>
              <w:bottom w:val="single" w:color="auto" w:sz="4" w:space="0"/>
              <w:right w:val="single" w:color="auto" w:sz="4" w:space="0"/>
            </w:tcBorders>
            <w:shd w:val="clear" w:color="auto" w:fill="auto"/>
            <w:vAlign w:val="center"/>
          </w:tcPr>
          <w:p w14:paraId="234546E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加气岛/加气机/加气作业</w:t>
            </w:r>
          </w:p>
        </w:tc>
        <w:tc>
          <w:tcPr>
            <w:tcW w:w="625" w:type="dxa"/>
            <w:tcBorders>
              <w:top w:val="single" w:color="auto" w:sz="8" w:space="0"/>
              <w:left w:val="single" w:color="auto" w:sz="4" w:space="0"/>
              <w:bottom w:val="single" w:color="auto" w:sz="4" w:space="0"/>
              <w:right w:val="single" w:color="auto" w:sz="4" w:space="0"/>
            </w:tcBorders>
            <w:shd w:val="clear" w:color="auto" w:fill="auto"/>
            <w:vAlign w:val="center"/>
          </w:tcPr>
          <w:p w14:paraId="4B97168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1.天然气</w:t>
            </w:r>
          </w:p>
          <w:p w14:paraId="3A2193E1">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2.点火源（明火、电火、高温、雷电）</w:t>
            </w:r>
          </w:p>
        </w:tc>
        <w:tc>
          <w:tcPr>
            <w:tcW w:w="744" w:type="dxa"/>
            <w:tcBorders>
              <w:top w:val="single" w:color="auto" w:sz="8" w:space="0"/>
              <w:left w:val="single" w:color="auto" w:sz="4" w:space="0"/>
              <w:bottom w:val="single" w:color="auto" w:sz="4" w:space="0"/>
              <w:right w:val="single" w:color="auto" w:sz="4" w:space="0"/>
            </w:tcBorders>
            <w:shd w:val="clear" w:color="auto" w:fill="auto"/>
            <w:vAlign w:val="center"/>
          </w:tcPr>
          <w:p w14:paraId="633973D2">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火灾、其他爆炸、中毒和窒息</w:t>
            </w:r>
          </w:p>
        </w:tc>
        <w:tc>
          <w:tcPr>
            <w:tcW w:w="1392" w:type="dxa"/>
            <w:tcBorders>
              <w:top w:val="single" w:color="auto" w:sz="8" w:space="0"/>
              <w:left w:val="single" w:color="auto" w:sz="4" w:space="0"/>
              <w:bottom w:val="single" w:color="auto" w:sz="4" w:space="0"/>
              <w:right w:val="single" w:color="auto" w:sz="4" w:space="0"/>
            </w:tcBorders>
            <w:shd w:val="clear" w:color="auto" w:fill="auto"/>
            <w:vAlign w:val="center"/>
          </w:tcPr>
          <w:p w14:paraId="2640FB66">
            <w:pPr>
              <w:widowControl/>
              <w:adjustRightInd/>
              <w:spacing w:line="240" w:lineRule="auto"/>
              <w:rPr>
                <w:rFonts w:ascii="宋体" w:hAns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w:t>
            </w:r>
            <w:r>
              <w:rPr>
                <w:rFonts w:ascii="宋体" w:hAnsi="宋体" w:cs="宋体"/>
                <w:color w:val="000000"/>
                <w:kern w:val="0"/>
                <w:sz w:val="18"/>
                <w:szCs w:val="18"/>
              </w:rPr>
              <w:t>由于</w:t>
            </w:r>
            <w:r>
              <w:rPr>
                <w:rFonts w:hint="eastAsia" w:ascii="宋体" w:hAnsi="宋体" w:cs="宋体"/>
                <w:color w:val="000000"/>
                <w:kern w:val="0"/>
                <w:sz w:val="18"/>
                <w:szCs w:val="18"/>
              </w:rPr>
              <w:t>加气软管损坏、加气枪故障</w:t>
            </w:r>
            <w:r>
              <w:rPr>
                <w:rFonts w:ascii="宋体" w:hAnsi="宋体" w:cs="宋体"/>
                <w:color w:val="000000"/>
                <w:kern w:val="0"/>
                <w:sz w:val="18"/>
                <w:szCs w:val="18"/>
              </w:rPr>
              <w:t>，造成</w:t>
            </w:r>
            <w:r>
              <w:rPr>
                <w:rFonts w:hint="eastAsia" w:ascii="宋体" w:hAnsi="宋体" w:cs="宋体"/>
                <w:color w:val="000000"/>
                <w:kern w:val="0"/>
                <w:sz w:val="18"/>
                <w:szCs w:val="18"/>
              </w:rPr>
              <w:t>天然气</w:t>
            </w:r>
            <w:r>
              <w:rPr>
                <w:rFonts w:ascii="宋体" w:hAnsi="宋体" w:cs="宋体"/>
                <w:color w:val="000000"/>
                <w:kern w:val="0"/>
                <w:sz w:val="18"/>
                <w:szCs w:val="18"/>
              </w:rPr>
              <w:t>泄漏</w:t>
            </w:r>
            <w:r>
              <w:rPr>
                <w:rFonts w:hint="eastAsia" w:ascii="宋体" w:hAnsi="宋体" w:cs="宋体"/>
                <w:color w:val="000000"/>
                <w:kern w:val="0"/>
                <w:sz w:val="18"/>
                <w:szCs w:val="18"/>
              </w:rPr>
              <w:t>。</w:t>
            </w:r>
          </w:p>
          <w:p w14:paraId="48F5E5D9">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2.抽烟、违规用火、用电、电气老化等原因引燃</w:t>
            </w:r>
            <w:r>
              <w:rPr>
                <w:rFonts w:ascii="宋体" w:hAnsi="宋体" w:cs="宋体"/>
                <w:color w:val="000000"/>
                <w:kern w:val="0"/>
                <w:sz w:val="18"/>
                <w:szCs w:val="18"/>
              </w:rPr>
              <w:t>达到爆炸极限</w:t>
            </w:r>
            <w:r>
              <w:rPr>
                <w:rFonts w:hint="eastAsia" w:ascii="宋体" w:hAnsi="宋体" w:cs="宋体"/>
                <w:color w:val="000000"/>
                <w:kern w:val="0"/>
                <w:sz w:val="18"/>
                <w:szCs w:val="18"/>
              </w:rPr>
              <w:t>的天然气</w:t>
            </w:r>
            <w:r>
              <w:rPr>
                <w:rFonts w:ascii="宋体" w:hAnsi="宋体" w:cs="宋体"/>
                <w:color w:val="000000"/>
                <w:kern w:val="0"/>
                <w:sz w:val="18"/>
                <w:szCs w:val="18"/>
              </w:rPr>
              <w:t>。</w:t>
            </w:r>
          </w:p>
          <w:p w14:paraId="796D20EB">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3.电气接地缺失、失效。</w:t>
            </w:r>
          </w:p>
        </w:tc>
        <w:tc>
          <w:tcPr>
            <w:tcW w:w="587" w:type="dxa"/>
            <w:tcBorders>
              <w:top w:val="single" w:color="auto" w:sz="8" w:space="0"/>
              <w:left w:val="single" w:color="auto" w:sz="4" w:space="0"/>
              <w:bottom w:val="single" w:color="auto" w:sz="4" w:space="0"/>
              <w:right w:val="single" w:color="auto" w:sz="4" w:space="0"/>
            </w:tcBorders>
            <w:shd w:val="clear" w:color="auto" w:fill="FFFF00"/>
            <w:vAlign w:val="center"/>
          </w:tcPr>
          <w:p w14:paraId="393C9729">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一般风险</w:t>
            </w:r>
          </w:p>
        </w:tc>
        <w:tc>
          <w:tcPr>
            <w:tcW w:w="576" w:type="dxa"/>
            <w:tcBorders>
              <w:top w:val="single" w:color="auto" w:sz="8" w:space="0"/>
              <w:left w:val="single" w:color="auto" w:sz="4" w:space="0"/>
              <w:bottom w:val="single" w:color="auto" w:sz="4" w:space="0"/>
              <w:right w:val="single" w:color="auto" w:sz="4" w:space="0"/>
            </w:tcBorders>
            <w:shd w:val="clear" w:color="auto" w:fill="00B0F0"/>
            <w:vAlign w:val="center"/>
          </w:tcPr>
          <w:p w14:paraId="01C61AF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低风险</w:t>
            </w:r>
          </w:p>
        </w:tc>
        <w:tc>
          <w:tcPr>
            <w:tcW w:w="2604" w:type="dxa"/>
            <w:tcBorders>
              <w:top w:val="single" w:color="auto" w:sz="8" w:space="0"/>
              <w:left w:val="single" w:color="auto" w:sz="4" w:space="0"/>
              <w:bottom w:val="single" w:color="auto" w:sz="4" w:space="0"/>
              <w:right w:val="single" w:color="auto" w:sz="4" w:space="0"/>
            </w:tcBorders>
            <w:vAlign w:val="top"/>
          </w:tcPr>
          <w:p w14:paraId="4CF0FD83">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1.设置可燃气体报警器，探测器与实际检测气体一直。</w:t>
            </w:r>
          </w:p>
          <w:p w14:paraId="50FAD75E">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2.采用防爆电气，且接地良好。</w:t>
            </w:r>
          </w:p>
          <w:p w14:paraId="4BAA0C50">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3.按规定配备灭火设备。</w:t>
            </w:r>
          </w:p>
          <w:p w14:paraId="35DD740F">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4.设置火灾应急照明。</w:t>
            </w:r>
          </w:p>
          <w:p w14:paraId="1675E480">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5.加气软管外表应完好无损，有效作用半径不应小于2.5 m，气瓶车加气软管长度不应大于6 m。</w:t>
            </w:r>
          </w:p>
          <w:p w14:paraId="2BE35AC1">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6.加气软管上应设有拉断阀。</w:t>
            </w:r>
          </w:p>
          <w:p w14:paraId="1C75F84E">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7.加气枪应外表完好，扳机操作灵活，加气嘴应配置自密封阀，卸开连接后能够立即自行关闭，由此引发的天然气泄漏量不大于0.01 m</w:t>
            </w:r>
            <w:r>
              <w:rPr>
                <w:rFonts w:hint="eastAsia" w:ascii="宋体" w:hAnsi="宋体" w:cs="宋体"/>
                <w:color w:val="000000"/>
                <w:kern w:val="0"/>
                <w:sz w:val="18"/>
                <w:szCs w:val="18"/>
                <w:vertAlign w:val="superscript"/>
              </w:rPr>
              <w:t>3</w:t>
            </w:r>
            <w:r>
              <w:rPr>
                <w:rFonts w:hint="eastAsia" w:ascii="宋体" w:hAnsi="宋体" w:cs="宋体"/>
                <w:color w:val="000000"/>
                <w:kern w:val="0"/>
                <w:sz w:val="18"/>
                <w:szCs w:val="18"/>
              </w:rPr>
              <w:t>（标准状态），每台加气机配备有加气枪和汽车受气口的密封帽。</w:t>
            </w:r>
          </w:p>
          <w:p w14:paraId="4BB055DD">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8.加气机运行平稳，无异常声响。</w:t>
            </w:r>
          </w:p>
          <w:p w14:paraId="184B2CD9">
            <w:pPr>
              <w:widowControl/>
              <w:adjustRightInd/>
              <w:spacing w:line="240" w:lineRule="auto"/>
              <w:rPr>
                <w:rFonts w:hint="eastAsia" w:ascii="宋体" w:hAnsi="宋体" w:cs="宋体"/>
                <w:color w:val="000000"/>
                <w:kern w:val="0"/>
                <w:sz w:val="18"/>
                <w:szCs w:val="18"/>
              </w:rPr>
            </w:pPr>
          </w:p>
        </w:tc>
        <w:tc>
          <w:tcPr>
            <w:tcW w:w="2437" w:type="dxa"/>
            <w:tcBorders>
              <w:top w:val="single" w:color="auto" w:sz="8" w:space="0"/>
              <w:left w:val="single" w:color="auto" w:sz="4" w:space="0"/>
              <w:bottom w:val="single" w:color="auto" w:sz="4" w:space="0"/>
              <w:right w:val="single" w:color="auto" w:sz="4" w:space="0"/>
            </w:tcBorders>
            <w:vAlign w:val="top"/>
          </w:tcPr>
          <w:p w14:paraId="3050D9E9">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1.汽车加气前应对车辆气瓶质量的有效证明进行检查，发现气瓶为非指定有资质单位安装，或气瓶未定期检验，或检验过期的，一律不允许进行加气作业。</w:t>
            </w:r>
          </w:p>
          <w:p w14:paraId="6DE56522">
            <w:pPr>
              <w:widowControl/>
              <w:adjustRightInd/>
              <w:spacing w:line="240" w:lineRule="auto"/>
              <w:jc w:val="left"/>
              <w:rPr>
                <w:rFonts w:ascii="宋体" w:hAnsi="宋体" w:cs="宋体"/>
                <w:color w:val="000000"/>
                <w:kern w:val="0"/>
                <w:sz w:val="18"/>
                <w:szCs w:val="18"/>
              </w:rPr>
            </w:pPr>
            <w:r>
              <w:rPr>
                <w:rFonts w:hint="eastAsia" w:ascii="宋体" w:hAnsi="宋体" w:cs="宋体"/>
                <w:color w:val="000000"/>
                <w:kern w:val="0"/>
                <w:sz w:val="18"/>
                <w:szCs w:val="18"/>
              </w:rPr>
              <w:t>2.应建立加气操作规程，压缩天然气汽车加气过程中应密切注意相关仪表参数，发现异常应立即停止加气；加气后应检查气瓶、阀门及连接管道，确认无泄漏和异常情况，并完全断开连接后方可允许加气车辆离开。</w:t>
            </w:r>
          </w:p>
          <w:p w14:paraId="47D230E8">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3.定期巡检、检测、维护和维修设备设施。软管应定期检查维护，有检查维护记录，达到使用寿命后应及时更换；加气机安全保护装置应经常检查，保证完好有效，</w:t>
            </w:r>
          </w:p>
        </w:tc>
        <w:tc>
          <w:tcPr>
            <w:tcW w:w="1308" w:type="dxa"/>
            <w:tcBorders>
              <w:top w:val="single" w:color="auto" w:sz="8" w:space="0"/>
              <w:left w:val="single" w:color="auto" w:sz="4" w:space="0"/>
              <w:bottom w:val="single" w:color="auto" w:sz="4" w:space="0"/>
              <w:right w:val="single" w:color="auto" w:sz="4" w:space="0"/>
            </w:tcBorders>
            <w:vAlign w:val="center"/>
          </w:tcPr>
          <w:p w14:paraId="51EBE424">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1.新员工进行三级安全培训教育。</w:t>
            </w:r>
          </w:p>
          <w:p w14:paraId="457D96C1">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2.定期开展人员操作技能和岗位安全操作规程培训与考核。</w:t>
            </w:r>
          </w:p>
          <w:p w14:paraId="12ECD869">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3.进行机械设备点检维护知识培训。</w:t>
            </w:r>
          </w:p>
          <w:p w14:paraId="52B5E083">
            <w:pPr>
              <w:widowControl/>
              <w:adjustRightInd/>
              <w:spacing w:line="240" w:lineRule="auto"/>
              <w:rPr>
                <w:rFonts w:hint="eastAsia" w:ascii="宋体" w:hAnsi="宋体" w:cs="宋体"/>
                <w:color w:val="000000"/>
                <w:kern w:val="0"/>
                <w:sz w:val="18"/>
                <w:szCs w:val="18"/>
              </w:rPr>
            </w:pPr>
            <w:r>
              <w:rPr>
                <w:rFonts w:hint="eastAsia" w:ascii="宋体" w:hAnsi="宋体" w:cs="宋体"/>
                <w:color w:val="000000"/>
                <w:kern w:val="0"/>
                <w:sz w:val="18"/>
                <w:szCs w:val="18"/>
              </w:rPr>
              <w:t>4.在员工上岗、转岗前，进行消防和应急管理培训；对在岗人员至少每半年进行一次消防和应急管理的继续教育。</w:t>
            </w:r>
          </w:p>
        </w:tc>
        <w:tc>
          <w:tcPr>
            <w:tcW w:w="689" w:type="dxa"/>
            <w:tcBorders>
              <w:top w:val="single" w:color="auto" w:sz="8" w:space="0"/>
              <w:left w:val="single" w:color="auto" w:sz="4" w:space="0"/>
              <w:bottom w:val="single" w:color="auto" w:sz="4" w:space="0"/>
              <w:right w:val="single" w:color="auto" w:sz="4" w:space="0"/>
            </w:tcBorders>
            <w:vAlign w:val="center"/>
          </w:tcPr>
          <w:p w14:paraId="64BA4AFC">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防静电工作服、防砸、防静电鞋、安全帽、防护手套、防噪耳罩。</w:t>
            </w:r>
          </w:p>
          <w:p w14:paraId="73C676CF">
            <w:pPr>
              <w:widowControl/>
              <w:adjustRightInd/>
              <w:spacing w:line="240" w:lineRule="auto"/>
              <w:rPr>
                <w:rFonts w:ascii="宋体" w:hAnsi="宋体" w:cs="宋体"/>
                <w:color w:val="000000"/>
                <w:kern w:val="0"/>
                <w:sz w:val="18"/>
                <w:szCs w:val="18"/>
              </w:rPr>
            </w:pPr>
          </w:p>
        </w:tc>
        <w:tc>
          <w:tcPr>
            <w:tcW w:w="762" w:type="dxa"/>
            <w:tcBorders>
              <w:top w:val="single" w:color="auto" w:sz="8" w:space="0"/>
              <w:left w:val="single" w:color="auto" w:sz="4" w:space="0"/>
              <w:bottom w:val="single" w:color="auto" w:sz="4" w:space="0"/>
              <w:right w:val="single" w:color="auto" w:sz="4" w:space="0"/>
            </w:tcBorders>
            <w:vAlign w:val="top"/>
          </w:tcPr>
          <w:p w14:paraId="3E990A88">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1．制定完善事故应急处置方案。</w:t>
            </w:r>
          </w:p>
          <w:p w14:paraId="4F2D00C7">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2.按规定开展应急演练。</w:t>
            </w:r>
          </w:p>
          <w:p w14:paraId="63BEF669">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3.配备应急器材和物资，确保完好有效。</w:t>
            </w:r>
          </w:p>
        </w:tc>
        <w:tc>
          <w:tcPr>
            <w:tcW w:w="480" w:type="dxa"/>
            <w:tcBorders>
              <w:top w:val="single" w:color="auto" w:sz="8" w:space="0"/>
              <w:left w:val="single" w:color="auto" w:sz="4" w:space="0"/>
              <w:bottom w:val="single" w:color="auto" w:sz="4" w:space="0"/>
              <w:right w:val="single" w:color="auto" w:sz="4" w:space="0"/>
            </w:tcBorders>
            <w:vAlign w:val="center"/>
          </w:tcPr>
          <w:p w14:paraId="19F8F1EE">
            <w:pPr>
              <w:widowControl/>
              <w:adjustRightInd/>
              <w:spacing w:line="240" w:lineRule="auto"/>
              <w:jc w:val="center"/>
              <w:rPr>
                <w:rFonts w:ascii="宋体" w:hAnsi="宋体" w:cs="宋体"/>
                <w:color w:val="000000"/>
                <w:kern w:val="0"/>
                <w:sz w:val="18"/>
                <w:szCs w:val="18"/>
              </w:rPr>
            </w:pPr>
          </w:p>
        </w:tc>
        <w:tc>
          <w:tcPr>
            <w:tcW w:w="626" w:type="dxa"/>
            <w:tcBorders>
              <w:top w:val="single" w:color="auto" w:sz="8" w:space="0"/>
              <w:left w:val="single" w:color="auto" w:sz="4" w:space="0"/>
              <w:bottom w:val="single" w:color="auto" w:sz="4" w:space="0"/>
            </w:tcBorders>
            <w:vAlign w:val="center"/>
          </w:tcPr>
          <w:p w14:paraId="056D4FE6">
            <w:pPr>
              <w:widowControl/>
              <w:adjustRightInd/>
              <w:spacing w:line="240" w:lineRule="auto"/>
              <w:jc w:val="center"/>
              <w:rPr>
                <w:rFonts w:ascii="宋体" w:hAnsi="宋体" w:cs="宋体"/>
                <w:color w:val="000000"/>
                <w:kern w:val="0"/>
                <w:sz w:val="18"/>
                <w:szCs w:val="18"/>
              </w:rPr>
            </w:pPr>
          </w:p>
        </w:tc>
      </w:tr>
    </w:tbl>
    <w:p w14:paraId="4476BDEE">
      <w:pPr>
        <w:keepNext w:val="0"/>
        <w:keepLines w:val="0"/>
        <w:pageBreakBefore w:val="0"/>
        <w:widowControl/>
        <w:kinsoku/>
        <w:wordWrap/>
        <w:overflowPunct/>
        <w:topLinePunct w:val="0"/>
        <w:autoSpaceDE/>
        <w:autoSpaceDN/>
        <w:bidi w:val="0"/>
        <w:adjustRightInd/>
        <w:snapToGrid/>
        <w:spacing w:before="159" w:beforeLines="50" w:after="159" w:afterLines="50" w:line="240" w:lineRule="auto"/>
        <w:jc w:val="center"/>
        <w:textAlignment w:val="auto"/>
        <w:rPr>
          <w:rFonts w:hint="eastAsia" w:ascii="黑体" w:hAnsi="Times New Roman" w:eastAsia="黑体" w:cs="Times New Roman"/>
          <w:kern w:val="21"/>
          <w:sz w:val="21"/>
          <w:szCs w:val="20"/>
          <w:lang w:val="en-US" w:eastAsia="zh-CN" w:bidi="ar-SA"/>
        </w:rPr>
      </w:pPr>
      <w:r>
        <w:rPr>
          <w:rFonts w:hint="eastAsia" w:ascii="黑体" w:hAnsi="Times New Roman" w:eastAsia="黑体" w:cs="Times New Roman"/>
          <w:kern w:val="21"/>
          <w:sz w:val="21"/>
          <w:szCs w:val="20"/>
          <w:lang w:val="en-US" w:eastAsia="zh-CN" w:bidi="ar-SA"/>
        </w:rPr>
        <w:t>表B.4 安全风险辨识和管控清单示例(燃气汽车加气站)（续）</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6"/>
        <w:gridCol w:w="600"/>
        <w:gridCol w:w="624"/>
        <w:gridCol w:w="744"/>
        <w:gridCol w:w="1356"/>
        <w:gridCol w:w="624"/>
        <w:gridCol w:w="600"/>
        <w:gridCol w:w="2568"/>
        <w:gridCol w:w="2436"/>
        <w:gridCol w:w="1308"/>
        <w:gridCol w:w="708"/>
        <w:gridCol w:w="732"/>
        <w:gridCol w:w="475"/>
        <w:gridCol w:w="678"/>
      </w:tblGrid>
      <w:tr w14:paraId="2D4BB2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96" w:type="dxa"/>
            <w:vMerge w:val="restart"/>
            <w:tcBorders>
              <w:top w:val="single" w:color="auto" w:sz="8" w:space="0"/>
              <w:right w:val="single" w:color="auto" w:sz="4" w:space="0"/>
            </w:tcBorders>
            <w:shd w:val="clear" w:color="auto" w:fill="auto"/>
            <w:vAlign w:val="center"/>
          </w:tcPr>
          <w:p w14:paraId="7B698054">
            <w:pPr>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序号</w:t>
            </w:r>
          </w:p>
        </w:tc>
        <w:tc>
          <w:tcPr>
            <w:tcW w:w="600" w:type="dxa"/>
            <w:vMerge w:val="restart"/>
            <w:tcBorders>
              <w:top w:val="single" w:color="auto" w:sz="8" w:space="0"/>
              <w:left w:val="single" w:color="auto" w:sz="4" w:space="0"/>
              <w:right w:val="single" w:color="auto" w:sz="4" w:space="0"/>
            </w:tcBorders>
            <w:shd w:val="clear" w:color="auto" w:fill="auto"/>
            <w:vAlign w:val="center"/>
          </w:tcPr>
          <w:p w14:paraId="476355C0">
            <w:pPr>
              <w:widowControl/>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场所/设备/环节</w:t>
            </w:r>
          </w:p>
        </w:tc>
        <w:tc>
          <w:tcPr>
            <w:tcW w:w="624" w:type="dxa"/>
            <w:vMerge w:val="restart"/>
            <w:tcBorders>
              <w:top w:val="single" w:color="auto" w:sz="8" w:space="0"/>
              <w:left w:val="single" w:color="auto" w:sz="4" w:space="0"/>
              <w:right w:val="single" w:color="auto" w:sz="4" w:space="0"/>
            </w:tcBorders>
            <w:shd w:val="clear" w:color="auto" w:fill="auto"/>
            <w:vAlign w:val="center"/>
          </w:tcPr>
          <w:p w14:paraId="57997C70">
            <w:pPr>
              <w:widowControl/>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危险物质/能量</w:t>
            </w:r>
          </w:p>
        </w:tc>
        <w:tc>
          <w:tcPr>
            <w:tcW w:w="744" w:type="dxa"/>
            <w:vMerge w:val="restart"/>
            <w:tcBorders>
              <w:top w:val="single" w:color="auto" w:sz="8" w:space="0"/>
              <w:left w:val="single" w:color="auto" w:sz="4" w:space="0"/>
              <w:right w:val="single" w:color="auto" w:sz="4" w:space="0"/>
            </w:tcBorders>
            <w:shd w:val="clear" w:color="auto" w:fill="auto"/>
            <w:vAlign w:val="center"/>
          </w:tcPr>
          <w:p w14:paraId="7680F792">
            <w:pPr>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风险类型</w:t>
            </w:r>
          </w:p>
        </w:tc>
        <w:tc>
          <w:tcPr>
            <w:tcW w:w="1356" w:type="dxa"/>
            <w:vMerge w:val="restart"/>
            <w:tcBorders>
              <w:top w:val="single" w:color="auto" w:sz="8" w:space="0"/>
              <w:left w:val="single" w:color="auto" w:sz="4" w:space="0"/>
              <w:right w:val="single" w:color="auto" w:sz="4" w:space="0"/>
            </w:tcBorders>
            <w:shd w:val="clear" w:color="auto" w:fill="auto"/>
            <w:vAlign w:val="center"/>
          </w:tcPr>
          <w:p w14:paraId="0F9A5B14">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触发事件</w:t>
            </w:r>
          </w:p>
        </w:tc>
        <w:tc>
          <w:tcPr>
            <w:tcW w:w="624" w:type="dxa"/>
            <w:vMerge w:val="restart"/>
            <w:tcBorders>
              <w:top w:val="single" w:color="auto" w:sz="8" w:space="0"/>
              <w:left w:val="single" w:color="auto" w:sz="4" w:space="0"/>
              <w:right w:val="single" w:color="auto" w:sz="4" w:space="0"/>
            </w:tcBorders>
            <w:shd w:val="clear" w:color="auto" w:fill="auto"/>
            <w:vAlign w:val="center"/>
          </w:tcPr>
          <w:p w14:paraId="111DFF3D">
            <w:pPr>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固有风险等级</w:t>
            </w:r>
          </w:p>
        </w:tc>
        <w:tc>
          <w:tcPr>
            <w:tcW w:w="600" w:type="dxa"/>
            <w:vMerge w:val="restart"/>
            <w:tcBorders>
              <w:top w:val="single" w:color="auto" w:sz="8" w:space="0"/>
              <w:left w:val="single" w:color="auto" w:sz="4" w:space="0"/>
              <w:right w:val="single" w:color="auto" w:sz="4" w:space="0"/>
            </w:tcBorders>
            <w:shd w:val="clear" w:color="auto" w:fill="auto"/>
            <w:vAlign w:val="center"/>
          </w:tcPr>
          <w:p w14:paraId="0982B3AC">
            <w:pPr>
              <w:adjustRightInd/>
              <w:spacing w:line="240" w:lineRule="auto"/>
              <w:jc w:val="center"/>
              <w:rPr>
                <w:rFonts w:hint="eastAsia" w:ascii="宋体" w:hAnsi="宋体" w:cs="宋体"/>
                <w:color w:val="000000"/>
                <w:kern w:val="0"/>
                <w:sz w:val="18"/>
                <w:szCs w:val="18"/>
              </w:rPr>
            </w:pPr>
            <w:r>
              <w:rPr>
                <w:rFonts w:hint="eastAsia" w:ascii="宋体" w:hAnsi="宋体" w:cs="宋体"/>
                <w:color w:val="000000"/>
                <w:kern w:val="0"/>
                <w:sz w:val="18"/>
                <w:szCs w:val="18"/>
              </w:rPr>
              <w:t>残余风险等级</w:t>
            </w:r>
          </w:p>
        </w:tc>
        <w:tc>
          <w:tcPr>
            <w:tcW w:w="7752" w:type="dxa"/>
            <w:gridSpan w:val="5"/>
            <w:tcBorders>
              <w:top w:val="single" w:color="auto" w:sz="8" w:space="0"/>
              <w:left w:val="single" w:color="auto" w:sz="4" w:space="0"/>
              <w:bottom w:val="single" w:color="auto" w:sz="4" w:space="0"/>
              <w:right w:val="single" w:color="auto" w:sz="4" w:space="0"/>
            </w:tcBorders>
            <w:vAlign w:val="center"/>
          </w:tcPr>
          <w:p w14:paraId="6318E720">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安全风险管控措施</w:t>
            </w:r>
          </w:p>
        </w:tc>
        <w:tc>
          <w:tcPr>
            <w:tcW w:w="475" w:type="dxa"/>
            <w:vMerge w:val="restart"/>
            <w:tcBorders>
              <w:top w:val="single" w:color="auto" w:sz="8" w:space="0"/>
              <w:left w:val="single" w:color="auto" w:sz="4" w:space="0"/>
              <w:right w:val="single" w:color="auto" w:sz="4" w:space="0"/>
            </w:tcBorders>
            <w:vAlign w:val="center"/>
          </w:tcPr>
          <w:p w14:paraId="2821631C">
            <w:pPr>
              <w:adjustRightInd/>
              <w:spacing w:line="240" w:lineRule="auto"/>
              <w:jc w:val="center"/>
              <w:rPr>
                <w:rFonts w:ascii="宋体" w:hAnsi="宋体" w:cs="宋体"/>
                <w:color w:val="000000"/>
                <w:kern w:val="0"/>
                <w:sz w:val="18"/>
                <w:szCs w:val="18"/>
              </w:rPr>
            </w:pPr>
            <w:r>
              <w:rPr>
                <w:rFonts w:hint="eastAsia" w:ascii="宋体" w:hAnsi="宋体" w:cs="宋体"/>
                <w:sz w:val="18"/>
                <w:szCs w:val="20"/>
              </w:rPr>
              <w:t>管控层级</w:t>
            </w:r>
          </w:p>
        </w:tc>
        <w:tc>
          <w:tcPr>
            <w:tcW w:w="678" w:type="dxa"/>
            <w:vMerge w:val="restart"/>
            <w:tcBorders>
              <w:top w:val="single" w:color="auto" w:sz="8" w:space="0"/>
              <w:left w:val="single" w:color="auto" w:sz="4" w:space="0"/>
            </w:tcBorders>
            <w:vAlign w:val="center"/>
          </w:tcPr>
          <w:p w14:paraId="5C4DE565">
            <w:pPr>
              <w:adjustRightInd/>
              <w:spacing w:line="240" w:lineRule="auto"/>
              <w:jc w:val="center"/>
              <w:rPr>
                <w:rFonts w:ascii="宋体" w:hAnsi="宋体" w:cs="宋体"/>
                <w:color w:val="000000"/>
                <w:kern w:val="0"/>
                <w:sz w:val="18"/>
                <w:szCs w:val="18"/>
              </w:rPr>
            </w:pPr>
            <w:r>
              <w:rPr>
                <w:rFonts w:hint="eastAsia" w:ascii="宋体" w:hAnsi="宋体" w:cs="宋体"/>
                <w:sz w:val="18"/>
                <w:szCs w:val="20"/>
              </w:rPr>
              <w:t>责任部门/责任人</w:t>
            </w:r>
          </w:p>
        </w:tc>
      </w:tr>
      <w:tr w14:paraId="13EE82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96" w:type="dxa"/>
            <w:vMerge w:val="continue"/>
            <w:tcBorders>
              <w:bottom w:val="single" w:color="auto" w:sz="4" w:space="0"/>
              <w:right w:val="single" w:color="auto" w:sz="4" w:space="0"/>
            </w:tcBorders>
            <w:shd w:val="clear" w:color="auto" w:fill="auto"/>
            <w:vAlign w:val="center"/>
          </w:tcPr>
          <w:p w14:paraId="37F894E0">
            <w:pPr>
              <w:widowControl/>
              <w:adjustRightInd/>
              <w:spacing w:line="240" w:lineRule="auto"/>
              <w:jc w:val="left"/>
            </w:pPr>
          </w:p>
        </w:tc>
        <w:tc>
          <w:tcPr>
            <w:tcW w:w="600" w:type="dxa"/>
            <w:vMerge w:val="continue"/>
            <w:tcBorders>
              <w:left w:val="single" w:color="auto" w:sz="4" w:space="0"/>
              <w:bottom w:val="single" w:color="auto" w:sz="4" w:space="0"/>
              <w:right w:val="single" w:color="auto" w:sz="4" w:space="0"/>
            </w:tcBorders>
            <w:shd w:val="clear" w:color="auto" w:fill="auto"/>
            <w:vAlign w:val="center"/>
          </w:tcPr>
          <w:p w14:paraId="07E49C93">
            <w:pPr>
              <w:widowControl/>
              <w:adjustRightInd/>
              <w:spacing w:line="240" w:lineRule="auto"/>
              <w:jc w:val="left"/>
            </w:pPr>
          </w:p>
        </w:tc>
        <w:tc>
          <w:tcPr>
            <w:tcW w:w="624" w:type="dxa"/>
            <w:vMerge w:val="continue"/>
            <w:tcBorders>
              <w:left w:val="single" w:color="auto" w:sz="4" w:space="0"/>
              <w:bottom w:val="single" w:color="auto" w:sz="4" w:space="0"/>
              <w:right w:val="single" w:color="auto" w:sz="4" w:space="0"/>
            </w:tcBorders>
            <w:shd w:val="clear" w:color="auto" w:fill="auto"/>
            <w:vAlign w:val="center"/>
          </w:tcPr>
          <w:p w14:paraId="6490852C">
            <w:pPr>
              <w:widowControl/>
              <w:adjustRightInd/>
              <w:spacing w:line="240" w:lineRule="auto"/>
              <w:jc w:val="left"/>
            </w:pPr>
          </w:p>
        </w:tc>
        <w:tc>
          <w:tcPr>
            <w:tcW w:w="744" w:type="dxa"/>
            <w:vMerge w:val="continue"/>
            <w:tcBorders>
              <w:left w:val="single" w:color="auto" w:sz="4" w:space="0"/>
              <w:bottom w:val="single" w:color="auto" w:sz="4" w:space="0"/>
              <w:right w:val="single" w:color="auto" w:sz="4" w:space="0"/>
            </w:tcBorders>
            <w:shd w:val="clear" w:color="auto" w:fill="auto"/>
            <w:vAlign w:val="center"/>
          </w:tcPr>
          <w:p w14:paraId="4A4BF953">
            <w:pPr>
              <w:widowControl/>
              <w:adjustRightInd/>
              <w:spacing w:line="240" w:lineRule="auto"/>
              <w:jc w:val="left"/>
            </w:pPr>
          </w:p>
        </w:tc>
        <w:tc>
          <w:tcPr>
            <w:tcW w:w="1356" w:type="dxa"/>
            <w:vMerge w:val="continue"/>
            <w:tcBorders>
              <w:left w:val="single" w:color="auto" w:sz="4" w:space="0"/>
              <w:bottom w:val="single" w:color="auto" w:sz="4" w:space="0"/>
              <w:right w:val="single" w:color="auto" w:sz="4" w:space="0"/>
            </w:tcBorders>
            <w:shd w:val="clear" w:color="auto" w:fill="auto"/>
            <w:vAlign w:val="center"/>
          </w:tcPr>
          <w:p w14:paraId="3170ED6F">
            <w:pPr>
              <w:widowControl/>
              <w:adjustRightInd/>
              <w:spacing w:line="240" w:lineRule="auto"/>
              <w:jc w:val="left"/>
            </w:pPr>
          </w:p>
        </w:tc>
        <w:tc>
          <w:tcPr>
            <w:tcW w:w="624" w:type="dxa"/>
            <w:vMerge w:val="continue"/>
            <w:tcBorders>
              <w:left w:val="single" w:color="auto" w:sz="4" w:space="0"/>
              <w:bottom w:val="single" w:color="auto" w:sz="4" w:space="0"/>
              <w:right w:val="single" w:color="auto" w:sz="4" w:space="0"/>
            </w:tcBorders>
            <w:shd w:val="clear" w:color="auto" w:fill="auto"/>
            <w:vAlign w:val="center"/>
          </w:tcPr>
          <w:p w14:paraId="7F3F0ECA">
            <w:pPr>
              <w:widowControl/>
              <w:adjustRightInd/>
              <w:spacing w:line="240" w:lineRule="auto"/>
              <w:jc w:val="left"/>
            </w:pPr>
          </w:p>
        </w:tc>
        <w:tc>
          <w:tcPr>
            <w:tcW w:w="600" w:type="dxa"/>
            <w:vMerge w:val="continue"/>
            <w:tcBorders>
              <w:left w:val="single" w:color="auto" w:sz="4" w:space="0"/>
              <w:bottom w:val="single" w:color="auto" w:sz="4" w:space="0"/>
              <w:right w:val="single" w:color="auto" w:sz="4" w:space="0"/>
            </w:tcBorders>
            <w:shd w:val="clear" w:color="auto" w:fill="auto"/>
            <w:vAlign w:val="center"/>
          </w:tcPr>
          <w:p w14:paraId="6AB4DD41">
            <w:pPr>
              <w:widowControl/>
              <w:adjustRightInd/>
              <w:spacing w:line="240" w:lineRule="auto"/>
              <w:jc w:val="left"/>
            </w:pPr>
          </w:p>
        </w:tc>
        <w:tc>
          <w:tcPr>
            <w:tcW w:w="2568" w:type="dxa"/>
            <w:tcBorders>
              <w:top w:val="single" w:color="auto" w:sz="8" w:space="0"/>
              <w:left w:val="single" w:color="auto" w:sz="4" w:space="0"/>
              <w:bottom w:val="single" w:color="auto" w:sz="4" w:space="0"/>
              <w:right w:val="single" w:color="auto" w:sz="4" w:space="0"/>
            </w:tcBorders>
            <w:vAlign w:val="center"/>
          </w:tcPr>
          <w:p w14:paraId="566159FF">
            <w:pPr>
              <w:adjustRightInd/>
              <w:spacing w:line="240" w:lineRule="auto"/>
              <w:jc w:val="center"/>
              <w:rPr>
                <w:rFonts w:ascii="宋体" w:hAnsi="宋体" w:cs="宋体"/>
                <w:sz w:val="18"/>
                <w:szCs w:val="18"/>
              </w:rPr>
            </w:pPr>
            <w:r>
              <w:rPr>
                <w:rFonts w:hint="eastAsia" w:ascii="宋体" w:hAnsi="宋体" w:cs="宋体"/>
                <w:sz w:val="18"/>
                <w:szCs w:val="18"/>
              </w:rPr>
              <w:t>工程</w:t>
            </w:r>
          </w:p>
          <w:p w14:paraId="45F2ED65">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技术</w:t>
            </w:r>
          </w:p>
        </w:tc>
        <w:tc>
          <w:tcPr>
            <w:tcW w:w="2436" w:type="dxa"/>
            <w:tcBorders>
              <w:top w:val="single" w:color="auto" w:sz="8" w:space="0"/>
              <w:left w:val="single" w:color="auto" w:sz="4" w:space="0"/>
              <w:bottom w:val="single" w:color="auto" w:sz="4" w:space="0"/>
              <w:right w:val="single" w:color="auto" w:sz="4" w:space="0"/>
            </w:tcBorders>
            <w:vAlign w:val="center"/>
          </w:tcPr>
          <w:p w14:paraId="4395D63E">
            <w:pPr>
              <w:adjustRightInd/>
              <w:spacing w:line="240" w:lineRule="auto"/>
              <w:jc w:val="center"/>
              <w:rPr>
                <w:rFonts w:ascii="宋体" w:hAnsi="宋体" w:cs="宋体"/>
                <w:sz w:val="18"/>
                <w:szCs w:val="18"/>
              </w:rPr>
            </w:pPr>
            <w:r>
              <w:rPr>
                <w:rFonts w:hint="eastAsia" w:ascii="宋体" w:hAnsi="宋体" w:cs="宋体"/>
                <w:sz w:val="18"/>
                <w:szCs w:val="18"/>
              </w:rPr>
              <w:t>安全</w:t>
            </w:r>
          </w:p>
          <w:p w14:paraId="1DC54355">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管理</w:t>
            </w:r>
          </w:p>
        </w:tc>
        <w:tc>
          <w:tcPr>
            <w:tcW w:w="1308" w:type="dxa"/>
            <w:tcBorders>
              <w:top w:val="single" w:color="auto" w:sz="8" w:space="0"/>
              <w:left w:val="single" w:color="auto" w:sz="4" w:space="0"/>
              <w:bottom w:val="single" w:color="auto" w:sz="4" w:space="0"/>
              <w:right w:val="single" w:color="auto" w:sz="4" w:space="0"/>
            </w:tcBorders>
            <w:vAlign w:val="center"/>
          </w:tcPr>
          <w:p w14:paraId="3892C9E4">
            <w:pPr>
              <w:adjustRightInd/>
              <w:spacing w:line="240" w:lineRule="auto"/>
              <w:jc w:val="center"/>
              <w:rPr>
                <w:rFonts w:ascii="宋体" w:hAnsi="宋体" w:cs="宋体"/>
                <w:sz w:val="18"/>
                <w:szCs w:val="18"/>
              </w:rPr>
            </w:pPr>
            <w:r>
              <w:rPr>
                <w:rFonts w:hint="eastAsia" w:ascii="宋体" w:hAnsi="宋体" w:cs="宋体"/>
                <w:sz w:val="18"/>
                <w:szCs w:val="18"/>
              </w:rPr>
              <w:t>培训</w:t>
            </w:r>
          </w:p>
          <w:p w14:paraId="689B47D6">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教育</w:t>
            </w:r>
          </w:p>
        </w:tc>
        <w:tc>
          <w:tcPr>
            <w:tcW w:w="708" w:type="dxa"/>
            <w:tcBorders>
              <w:top w:val="single" w:color="auto" w:sz="8" w:space="0"/>
              <w:left w:val="single" w:color="auto" w:sz="4" w:space="0"/>
              <w:bottom w:val="single" w:color="auto" w:sz="4" w:space="0"/>
              <w:right w:val="single" w:color="auto" w:sz="4" w:space="0"/>
            </w:tcBorders>
            <w:vAlign w:val="center"/>
          </w:tcPr>
          <w:p w14:paraId="7B2BBAFC">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个体防护</w:t>
            </w:r>
          </w:p>
        </w:tc>
        <w:tc>
          <w:tcPr>
            <w:tcW w:w="732" w:type="dxa"/>
            <w:tcBorders>
              <w:top w:val="single" w:color="auto" w:sz="8" w:space="0"/>
              <w:left w:val="single" w:color="auto" w:sz="4" w:space="0"/>
              <w:bottom w:val="single" w:color="auto" w:sz="4" w:space="0"/>
              <w:right w:val="single" w:color="auto" w:sz="4" w:space="0"/>
            </w:tcBorders>
            <w:vAlign w:val="center"/>
          </w:tcPr>
          <w:p w14:paraId="22017C3C">
            <w:pPr>
              <w:adjustRightInd/>
              <w:spacing w:line="240" w:lineRule="auto"/>
              <w:jc w:val="center"/>
              <w:rPr>
                <w:rFonts w:hint="eastAsia" w:ascii="宋体" w:hAnsi="宋体" w:cs="宋体"/>
                <w:sz w:val="18"/>
                <w:szCs w:val="18"/>
              </w:rPr>
            </w:pPr>
            <w:r>
              <w:rPr>
                <w:rFonts w:hint="eastAsia" w:ascii="宋体" w:hAnsi="宋体" w:cs="宋体"/>
                <w:sz w:val="18"/>
                <w:szCs w:val="18"/>
              </w:rPr>
              <w:t>应急</w:t>
            </w:r>
          </w:p>
          <w:p w14:paraId="3E0F5BB1">
            <w:pPr>
              <w:adjustRightInd/>
              <w:spacing w:line="240" w:lineRule="auto"/>
              <w:jc w:val="center"/>
              <w:rPr>
                <w:rFonts w:hint="eastAsia" w:ascii="宋体" w:hAnsi="宋体" w:cs="宋体"/>
                <w:color w:val="000000"/>
                <w:kern w:val="0"/>
                <w:sz w:val="18"/>
                <w:szCs w:val="18"/>
              </w:rPr>
            </w:pPr>
            <w:r>
              <w:rPr>
                <w:rFonts w:hint="eastAsia" w:ascii="宋体" w:hAnsi="宋体" w:cs="宋体"/>
                <w:sz w:val="18"/>
                <w:szCs w:val="18"/>
              </w:rPr>
              <w:t>处置</w:t>
            </w:r>
          </w:p>
        </w:tc>
        <w:tc>
          <w:tcPr>
            <w:tcW w:w="475" w:type="dxa"/>
            <w:vMerge w:val="continue"/>
            <w:tcBorders>
              <w:left w:val="single" w:color="auto" w:sz="4" w:space="0"/>
              <w:bottom w:val="single" w:color="auto" w:sz="4" w:space="0"/>
              <w:right w:val="single" w:color="auto" w:sz="4" w:space="0"/>
            </w:tcBorders>
            <w:vAlign w:val="center"/>
          </w:tcPr>
          <w:p w14:paraId="4A49CF28">
            <w:pPr>
              <w:widowControl/>
              <w:adjustRightInd/>
              <w:spacing w:line="240" w:lineRule="auto"/>
              <w:jc w:val="left"/>
              <w:rPr>
                <w:rFonts w:hint="eastAsia" w:ascii="宋体" w:hAnsi="宋体" w:cs="宋体"/>
                <w:color w:val="000000"/>
                <w:kern w:val="0"/>
                <w:sz w:val="18"/>
                <w:szCs w:val="18"/>
              </w:rPr>
            </w:pPr>
          </w:p>
        </w:tc>
        <w:tc>
          <w:tcPr>
            <w:tcW w:w="678" w:type="dxa"/>
            <w:vMerge w:val="continue"/>
            <w:tcBorders>
              <w:left w:val="single" w:color="auto" w:sz="4" w:space="0"/>
              <w:bottom w:val="single" w:color="auto" w:sz="4" w:space="0"/>
            </w:tcBorders>
            <w:vAlign w:val="center"/>
          </w:tcPr>
          <w:p w14:paraId="5E9ECC1E">
            <w:pPr>
              <w:widowControl/>
              <w:adjustRightInd/>
              <w:spacing w:line="240" w:lineRule="auto"/>
              <w:jc w:val="left"/>
              <w:rPr>
                <w:rFonts w:hint="eastAsia" w:ascii="宋体" w:hAnsi="宋体" w:cs="宋体"/>
                <w:color w:val="000000"/>
                <w:kern w:val="0"/>
                <w:sz w:val="18"/>
                <w:szCs w:val="18"/>
              </w:rPr>
            </w:pPr>
          </w:p>
        </w:tc>
      </w:tr>
      <w:tr w14:paraId="488B19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8" w:space="0"/>
              <w:bottom w:val="single" w:color="auto" w:sz="4" w:space="0"/>
              <w:right w:val="single" w:color="auto" w:sz="4" w:space="0"/>
            </w:tcBorders>
            <w:shd w:val="clear" w:color="auto" w:fill="auto"/>
            <w:vAlign w:val="center"/>
          </w:tcPr>
          <w:p w14:paraId="4E4F140C">
            <w:pPr>
              <w:widowControl/>
              <w:adjustRightInd/>
              <w:spacing w:line="240" w:lineRule="auto"/>
              <w:jc w:val="center"/>
              <w:rPr>
                <w:rFonts w:hint="eastAsia" w:ascii="宋体" w:hAnsi="宋体" w:cs="宋体"/>
                <w:color w:val="000000"/>
                <w:kern w:val="0"/>
                <w:sz w:val="18"/>
                <w:szCs w:val="18"/>
              </w:rPr>
            </w:pPr>
          </w:p>
        </w:tc>
        <w:tc>
          <w:tcPr>
            <w:tcW w:w="600" w:type="dxa"/>
            <w:tcBorders>
              <w:top w:val="single" w:color="auto" w:sz="8" w:space="0"/>
              <w:left w:val="single" w:color="auto" w:sz="4" w:space="0"/>
              <w:bottom w:val="single" w:color="auto" w:sz="4" w:space="0"/>
              <w:right w:val="single" w:color="auto" w:sz="4" w:space="0"/>
            </w:tcBorders>
            <w:shd w:val="clear" w:color="auto" w:fill="auto"/>
            <w:vAlign w:val="center"/>
          </w:tcPr>
          <w:p w14:paraId="1FF230E3">
            <w:pPr>
              <w:widowControl/>
              <w:adjustRightInd/>
              <w:spacing w:line="240" w:lineRule="auto"/>
              <w:jc w:val="center"/>
              <w:rPr>
                <w:rFonts w:hint="eastAsia" w:ascii="宋体" w:hAnsi="宋体" w:cs="宋体"/>
                <w:color w:val="000000"/>
                <w:kern w:val="0"/>
                <w:sz w:val="18"/>
                <w:szCs w:val="18"/>
              </w:rPr>
            </w:pPr>
          </w:p>
        </w:tc>
        <w:tc>
          <w:tcPr>
            <w:tcW w:w="624" w:type="dxa"/>
            <w:tcBorders>
              <w:top w:val="single" w:color="auto" w:sz="8" w:space="0"/>
              <w:left w:val="single" w:color="auto" w:sz="4" w:space="0"/>
              <w:bottom w:val="single" w:color="auto" w:sz="4" w:space="0"/>
              <w:right w:val="single" w:color="auto" w:sz="4" w:space="0"/>
            </w:tcBorders>
            <w:shd w:val="clear" w:color="auto" w:fill="auto"/>
            <w:vAlign w:val="center"/>
          </w:tcPr>
          <w:p w14:paraId="61711528">
            <w:pPr>
              <w:widowControl/>
              <w:adjustRightInd/>
              <w:spacing w:line="240" w:lineRule="auto"/>
              <w:jc w:val="center"/>
              <w:rPr>
                <w:rFonts w:hint="eastAsia" w:ascii="宋体" w:hAnsi="宋体" w:cs="宋体"/>
                <w:color w:val="000000"/>
                <w:kern w:val="0"/>
                <w:sz w:val="18"/>
                <w:szCs w:val="18"/>
              </w:rPr>
            </w:pPr>
          </w:p>
        </w:tc>
        <w:tc>
          <w:tcPr>
            <w:tcW w:w="744" w:type="dxa"/>
            <w:tcBorders>
              <w:top w:val="single" w:color="auto" w:sz="8" w:space="0"/>
              <w:left w:val="single" w:color="auto" w:sz="4" w:space="0"/>
              <w:bottom w:val="single" w:color="auto" w:sz="4" w:space="0"/>
              <w:right w:val="single" w:color="auto" w:sz="4" w:space="0"/>
            </w:tcBorders>
            <w:shd w:val="clear" w:color="auto" w:fill="auto"/>
            <w:vAlign w:val="center"/>
          </w:tcPr>
          <w:p w14:paraId="11418CB1">
            <w:pPr>
              <w:widowControl/>
              <w:adjustRightInd/>
              <w:spacing w:line="240" w:lineRule="auto"/>
              <w:jc w:val="center"/>
              <w:rPr>
                <w:rFonts w:hint="eastAsia" w:ascii="宋体" w:hAnsi="宋体" w:cs="宋体"/>
                <w:color w:val="000000"/>
                <w:kern w:val="0"/>
                <w:sz w:val="18"/>
                <w:szCs w:val="18"/>
              </w:rPr>
            </w:pPr>
          </w:p>
        </w:tc>
        <w:tc>
          <w:tcPr>
            <w:tcW w:w="1356" w:type="dxa"/>
            <w:tcBorders>
              <w:top w:val="single" w:color="auto" w:sz="8" w:space="0"/>
              <w:left w:val="single" w:color="auto" w:sz="4" w:space="0"/>
              <w:bottom w:val="single" w:color="auto" w:sz="4" w:space="0"/>
              <w:right w:val="single" w:color="auto" w:sz="4" w:space="0"/>
            </w:tcBorders>
            <w:shd w:val="clear" w:color="auto" w:fill="auto"/>
            <w:vAlign w:val="center"/>
          </w:tcPr>
          <w:p w14:paraId="722A2C1B">
            <w:pPr>
              <w:widowControl/>
              <w:adjustRightInd/>
              <w:spacing w:line="240" w:lineRule="auto"/>
              <w:rPr>
                <w:rFonts w:hint="eastAsia" w:ascii="宋体" w:hAnsi="宋体" w:cs="宋体"/>
                <w:color w:val="000000"/>
                <w:kern w:val="0"/>
                <w:sz w:val="18"/>
                <w:szCs w:val="18"/>
              </w:rPr>
            </w:pPr>
          </w:p>
        </w:tc>
        <w:tc>
          <w:tcPr>
            <w:tcW w:w="624" w:type="dxa"/>
            <w:tcBorders>
              <w:top w:val="single" w:color="auto" w:sz="8" w:space="0"/>
              <w:left w:val="single" w:color="auto" w:sz="4" w:space="0"/>
              <w:bottom w:val="single" w:color="auto" w:sz="4" w:space="0"/>
              <w:right w:val="single" w:color="auto" w:sz="4" w:space="0"/>
            </w:tcBorders>
            <w:shd w:val="clear" w:color="auto" w:fill="FFFF00"/>
            <w:vAlign w:val="center"/>
          </w:tcPr>
          <w:p w14:paraId="4FCA59DB">
            <w:pPr>
              <w:widowControl/>
              <w:adjustRightInd/>
              <w:spacing w:line="240" w:lineRule="auto"/>
              <w:jc w:val="center"/>
              <w:rPr>
                <w:rFonts w:hint="eastAsia" w:ascii="宋体" w:hAnsi="宋体" w:cs="宋体"/>
                <w:color w:val="000000"/>
                <w:kern w:val="0"/>
                <w:sz w:val="18"/>
                <w:szCs w:val="18"/>
              </w:rPr>
            </w:pPr>
          </w:p>
        </w:tc>
        <w:tc>
          <w:tcPr>
            <w:tcW w:w="600" w:type="dxa"/>
            <w:tcBorders>
              <w:top w:val="single" w:color="auto" w:sz="8" w:space="0"/>
              <w:left w:val="single" w:color="auto" w:sz="4" w:space="0"/>
              <w:bottom w:val="single" w:color="auto" w:sz="4" w:space="0"/>
              <w:right w:val="single" w:color="auto" w:sz="4" w:space="0"/>
            </w:tcBorders>
            <w:shd w:val="clear" w:color="auto" w:fill="00B0F0"/>
            <w:vAlign w:val="center"/>
          </w:tcPr>
          <w:p w14:paraId="54DC6DB9">
            <w:pPr>
              <w:widowControl/>
              <w:adjustRightInd/>
              <w:spacing w:line="240" w:lineRule="auto"/>
              <w:jc w:val="center"/>
              <w:rPr>
                <w:rFonts w:hint="eastAsia" w:ascii="宋体" w:hAnsi="宋体" w:cs="宋体"/>
                <w:color w:val="000000"/>
                <w:kern w:val="0"/>
                <w:sz w:val="18"/>
                <w:szCs w:val="18"/>
              </w:rPr>
            </w:pPr>
          </w:p>
        </w:tc>
        <w:tc>
          <w:tcPr>
            <w:tcW w:w="2568" w:type="dxa"/>
            <w:tcBorders>
              <w:top w:val="single" w:color="auto" w:sz="8" w:space="0"/>
              <w:left w:val="single" w:color="auto" w:sz="4" w:space="0"/>
              <w:bottom w:val="single" w:color="auto" w:sz="4" w:space="0"/>
              <w:right w:val="single" w:color="auto" w:sz="4" w:space="0"/>
            </w:tcBorders>
            <w:vAlign w:val="top"/>
          </w:tcPr>
          <w:p w14:paraId="77C1FEEE">
            <w:pPr>
              <w:widowControl/>
              <w:adjustRightInd/>
              <w:spacing w:line="240" w:lineRule="auto"/>
              <w:jc w:val="left"/>
              <w:rPr>
                <w:rFonts w:hint="eastAsia" w:ascii="宋体" w:hAnsi="宋体" w:cs="宋体"/>
                <w:color w:val="000000"/>
                <w:kern w:val="0"/>
                <w:sz w:val="18"/>
                <w:szCs w:val="18"/>
              </w:rPr>
            </w:pPr>
          </w:p>
        </w:tc>
        <w:tc>
          <w:tcPr>
            <w:tcW w:w="2436" w:type="dxa"/>
            <w:tcBorders>
              <w:top w:val="single" w:color="auto" w:sz="8" w:space="0"/>
              <w:left w:val="single" w:color="auto" w:sz="4" w:space="0"/>
              <w:bottom w:val="single" w:color="auto" w:sz="4" w:space="0"/>
              <w:right w:val="single" w:color="auto" w:sz="4" w:space="0"/>
            </w:tcBorders>
            <w:vAlign w:val="top"/>
          </w:tcPr>
          <w:p w14:paraId="193E0C45">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并保存检查记录。</w:t>
            </w:r>
          </w:p>
          <w:p w14:paraId="0313E701">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4.设置明显的安全警示标识。</w:t>
            </w:r>
          </w:p>
          <w:p w14:paraId="781C8B25">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5.建立健全安全管理有关制度，明确责任及主要内容。</w:t>
            </w:r>
          </w:p>
          <w:p w14:paraId="69960C1C">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6.制定岗位安全操作规程并悬挂在醒目位置，操作人员应掌握并严格执行。</w:t>
            </w:r>
          </w:p>
          <w:p w14:paraId="2FD84D39">
            <w:pPr>
              <w:widowControl/>
              <w:adjustRightInd/>
              <w:spacing w:line="24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7.企业配备专职安全生产管理人员，并取得安全生产管理人员证书。作业人员取得运行、维护和抢修人员证书。</w:t>
            </w:r>
          </w:p>
        </w:tc>
        <w:tc>
          <w:tcPr>
            <w:tcW w:w="1308" w:type="dxa"/>
            <w:tcBorders>
              <w:top w:val="single" w:color="auto" w:sz="8" w:space="0"/>
              <w:left w:val="single" w:color="auto" w:sz="4" w:space="0"/>
              <w:bottom w:val="single" w:color="auto" w:sz="4" w:space="0"/>
              <w:right w:val="single" w:color="auto" w:sz="4" w:space="0"/>
            </w:tcBorders>
            <w:vAlign w:val="top"/>
          </w:tcPr>
          <w:p w14:paraId="695B82AB">
            <w:pPr>
              <w:widowControl/>
              <w:adjustRightInd/>
              <w:spacing w:line="240" w:lineRule="auto"/>
              <w:rPr>
                <w:rFonts w:ascii="宋体" w:hAnsi="宋体" w:cs="宋体"/>
                <w:color w:val="000000"/>
                <w:kern w:val="0"/>
                <w:sz w:val="18"/>
                <w:szCs w:val="18"/>
              </w:rPr>
            </w:pPr>
            <w:r>
              <w:rPr>
                <w:rFonts w:hint="eastAsia" w:ascii="宋体" w:hAnsi="宋体" w:cs="宋体"/>
                <w:color w:val="000000"/>
                <w:kern w:val="0"/>
                <w:sz w:val="18"/>
                <w:szCs w:val="18"/>
              </w:rPr>
              <w:t>5.掌握消防设施器材使用方法和逃生自救技能。</w:t>
            </w:r>
          </w:p>
          <w:p w14:paraId="3ABCBAE5">
            <w:pPr>
              <w:widowControl/>
              <w:adjustRightInd/>
              <w:spacing w:line="240" w:lineRule="auto"/>
              <w:jc w:val="left"/>
              <w:rPr>
                <w:rFonts w:hint="eastAsia" w:ascii="宋体" w:hAnsi="宋体" w:cs="宋体"/>
                <w:color w:val="000000"/>
                <w:kern w:val="0"/>
                <w:sz w:val="18"/>
                <w:szCs w:val="18"/>
              </w:rPr>
            </w:pPr>
            <w:r>
              <w:rPr>
                <w:rFonts w:hint="eastAsia" w:ascii="宋体" w:hAnsi="宋体" w:cs="宋体"/>
                <w:color w:val="000000"/>
                <w:kern w:val="0"/>
                <w:sz w:val="18"/>
                <w:szCs w:val="18"/>
              </w:rPr>
              <w:t>6.对外来人员进行安全告知。</w:t>
            </w:r>
          </w:p>
        </w:tc>
        <w:tc>
          <w:tcPr>
            <w:tcW w:w="708" w:type="dxa"/>
            <w:tcBorders>
              <w:top w:val="single" w:color="auto" w:sz="8" w:space="0"/>
              <w:left w:val="single" w:color="auto" w:sz="4" w:space="0"/>
              <w:bottom w:val="single" w:color="auto" w:sz="4" w:space="0"/>
              <w:right w:val="single" w:color="auto" w:sz="4" w:space="0"/>
            </w:tcBorders>
            <w:vAlign w:val="top"/>
          </w:tcPr>
          <w:p w14:paraId="3676A22B">
            <w:pPr>
              <w:widowControl/>
              <w:adjustRightInd/>
              <w:spacing w:line="240" w:lineRule="auto"/>
              <w:jc w:val="left"/>
              <w:rPr>
                <w:rFonts w:ascii="宋体" w:hAnsi="宋体" w:cs="宋体"/>
                <w:color w:val="000000"/>
                <w:kern w:val="0"/>
                <w:sz w:val="18"/>
                <w:szCs w:val="18"/>
              </w:rPr>
            </w:pPr>
          </w:p>
        </w:tc>
        <w:tc>
          <w:tcPr>
            <w:tcW w:w="732" w:type="dxa"/>
            <w:tcBorders>
              <w:top w:val="single" w:color="auto" w:sz="8" w:space="0"/>
              <w:left w:val="single" w:color="auto" w:sz="4" w:space="0"/>
              <w:bottom w:val="single" w:color="auto" w:sz="4" w:space="0"/>
              <w:right w:val="single" w:color="auto" w:sz="4" w:space="0"/>
            </w:tcBorders>
            <w:vAlign w:val="top"/>
          </w:tcPr>
          <w:p w14:paraId="2511338A">
            <w:pPr>
              <w:widowControl/>
              <w:adjustRightInd/>
              <w:spacing w:line="240" w:lineRule="auto"/>
              <w:jc w:val="left"/>
              <w:rPr>
                <w:rFonts w:hint="eastAsia" w:ascii="宋体" w:hAnsi="宋体" w:cs="宋体"/>
                <w:color w:val="000000"/>
                <w:kern w:val="0"/>
                <w:sz w:val="18"/>
                <w:szCs w:val="18"/>
              </w:rPr>
            </w:pPr>
          </w:p>
        </w:tc>
        <w:tc>
          <w:tcPr>
            <w:tcW w:w="475" w:type="dxa"/>
            <w:tcBorders>
              <w:top w:val="single" w:color="auto" w:sz="8" w:space="0"/>
              <w:left w:val="single" w:color="auto" w:sz="4" w:space="0"/>
              <w:bottom w:val="single" w:color="auto" w:sz="4" w:space="0"/>
              <w:right w:val="single" w:color="auto" w:sz="4" w:space="0"/>
            </w:tcBorders>
            <w:vAlign w:val="center"/>
          </w:tcPr>
          <w:p w14:paraId="733B55DE">
            <w:pPr>
              <w:widowControl/>
              <w:adjustRightInd/>
              <w:spacing w:line="240" w:lineRule="auto"/>
              <w:jc w:val="center"/>
              <w:rPr>
                <w:rFonts w:ascii="宋体" w:hAnsi="宋体" w:cs="宋体"/>
                <w:color w:val="000000"/>
                <w:kern w:val="0"/>
                <w:sz w:val="18"/>
                <w:szCs w:val="18"/>
              </w:rPr>
            </w:pPr>
          </w:p>
        </w:tc>
        <w:tc>
          <w:tcPr>
            <w:tcW w:w="678" w:type="dxa"/>
            <w:tcBorders>
              <w:top w:val="single" w:color="auto" w:sz="8" w:space="0"/>
              <w:left w:val="single" w:color="auto" w:sz="4" w:space="0"/>
              <w:bottom w:val="single" w:color="auto" w:sz="4" w:space="0"/>
            </w:tcBorders>
            <w:vAlign w:val="center"/>
          </w:tcPr>
          <w:p w14:paraId="03910D4B">
            <w:pPr>
              <w:widowControl/>
              <w:adjustRightInd/>
              <w:spacing w:line="240" w:lineRule="auto"/>
              <w:jc w:val="center"/>
              <w:rPr>
                <w:rFonts w:ascii="宋体" w:hAnsi="宋体" w:cs="宋体"/>
                <w:color w:val="000000"/>
                <w:kern w:val="0"/>
                <w:sz w:val="18"/>
                <w:szCs w:val="18"/>
              </w:rPr>
            </w:pPr>
          </w:p>
        </w:tc>
      </w:tr>
      <w:tr w14:paraId="1DC52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96" w:type="dxa"/>
            <w:tcBorders>
              <w:top w:val="single" w:color="auto" w:sz="4" w:space="0"/>
              <w:bottom w:val="single" w:color="auto" w:sz="8" w:space="0"/>
              <w:right w:val="single" w:color="auto" w:sz="4" w:space="0"/>
            </w:tcBorders>
            <w:vAlign w:val="center"/>
          </w:tcPr>
          <w:p w14:paraId="6767F4CD">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single" w:color="auto" w:sz="4" w:space="0"/>
              <w:bottom w:val="single" w:color="auto" w:sz="8" w:space="0"/>
              <w:right w:val="single" w:color="auto" w:sz="4" w:space="0"/>
            </w:tcBorders>
            <w:vAlign w:val="center"/>
          </w:tcPr>
          <w:p w14:paraId="2283BA4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24" w:type="dxa"/>
            <w:tcBorders>
              <w:top w:val="single" w:color="auto" w:sz="4" w:space="0"/>
              <w:left w:val="single" w:color="auto" w:sz="4" w:space="0"/>
              <w:bottom w:val="single" w:color="auto" w:sz="8" w:space="0"/>
              <w:right w:val="single" w:color="auto" w:sz="4" w:space="0"/>
            </w:tcBorders>
            <w:vAlign w:val="center"/>
          </w:tcPr>
          <w:p w14:paraId="1EA890A8">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44" w:type="dxa"/>
            <w:tcBorders>
              <w:top w:val="single" w:color="auto" w:sz="4" w:space="0"/>
              <w:left w:val="single" w:color="auto" w:sz="4" w:space="0"/>
              <w:bottom w:val="single" w:color="auto" w:sz="8" w:space="0"/>
              <w:right w:val="single" w:color="auto" w:sz="4" w:space="0"/>
            </w:tcBorders>
            <w:vAlign w:val="center"/>
          </w:tcPr>
          <w:p w14:paraId="07A1A58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56" w:type="dxa"/>
            <w:tcBorders>
              <w:top w:val="single" w:color="auto" w:sz="4" w:space="0"/>
              <w:left w:val="single" w:color="auto" w:sz="4" w:space="0"/>
              <w:bottom w:val="single" w:color="auto" w:sz="8" w:space="0"/>
              <w:right w:val="single" w:color="auto" w:sz="4" w:space="0"/>
            </w:tcBorders>
            <w:vAlign w:val="center"/>
          </w:tcPr>
          <w:p w14:paraId="2638066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24" w:type="dxa"/>
            <w:tcBorders>
              <w:top w:val="single" w:color="auto" w:sz="4" w:space="0"/>
              <w:left w:val="single" w:color="auto" w:sz="4" w:space="0"/>
              <w:bottom w:val="single" w:color="auto" w:sz="8" w:space="0"/>
              <w:right w:val="single" w:color="auto" w:sz="4" w:space="0"/>
            </w:tcBorders>
            <w:vAlign w:val="center"/>
          </w:tcPr>
          <w:p w14:paraId="10C53A85">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0" w:type="dxa"/>
            <w:tcBorders>
              <w:top w:val="single" w:color="auto" w:sz="4" w:space="0"/>
              <w:left w:val="single" w:color="auto" w:sz="4" w:space="0"/>
              <w:bottom w:val="single" w:color="auto" w:sz="8" w:space="0"/>
              <w:right w:val="single" w:color="auto" w:sz="4" w:space="0"/>
            </w:tcBorders>
            <w:vAlign w:val="center"/>
          </w:tcPr>
          <w:p w14:paraId="3F453A8E">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568" w:type="dxa"/>
            <w:tcBorders>
              <w:top w:val="single" w:color="auto" w:sz="4" w:space="0"/>
              <w:left w:val="single" w:color="auto" w:sz="4" w:space="0"/>
              <w:bottom w:val="single" w:color="auto" w:sz="8" w:space="0"/>
              <w:right w:val="single" w:color="auto" w:sz="4" w:space="0"/>
            </w:tcBorders>
            <w:vAlign w:val="center"/>
          </w:tcPr>
          <w:p w14:paraId="205DD59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2436" w:type="dxa"/>
            <w:tcBorders>
              <w:top w:val="single" w:color="auto" w:sz="4" w:space="0"/>
              <w:left w:val="single" w:color="auto" w:sz="4" w:space="0"/>
              <w:bottom w:val="single" w:color="auto" w:sz="8" w:space="0"/>
              <w:right w:val="single" w:color="auto" w:sz="4" w:space="0"/>
            </w:tcBorders>
            <w:vAlign w:val="center"/>
          </w:tcPr>
          <w:p w14:paraId="6C1445E3">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08" w:type="dxa"/>
            <w:tcBorders>
              <w:top w:val="single" w:color="auto" w:sz="4" w:space="0"/>
              <w:left w:val="single" w:color="auto" w:sz="4" w:space="0"/>
              <w:bottom w:val="single" w:color="auto" w:sz="8" w:space="0"/>
              <w:right w:val="single" w:color="auto" w:sz="4" w:space="0"/>
            </w:tcBorders>
            <w:vAlign w:val="center"/>
          </w:tcPr>
          <w:p w14:paraId="528FA861">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08" w:type="dxa"/>
            <w:tcBorders>
              <w:top w:val="single" w:color="auto" w:sz="4" w:space="0"/>
              <w:left w:val="single" w:color="auto" w:sz="4" w:space="0"/>
              <w:bottom w:val="single" w:color="auto" w:sz="8" w:space="0"/>
              <w:right w:val="single" w:color="auto" w:sz="4" w:space="0"/>
            </w:tcBorders>
            <w:vAlign w:val="center"/>
          </w:tcPr>
          <w:p w14:paraId="26E9324B">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32" w:type="dxa"/>
            <w:tcBorders>
              <w:top w:val="single" w:color="auto" w:sz="4" w:space="0"/>
              <w:left w:val="single" w:color="auto" w:sz="4" w:space="0"/>
              <w:bottom w:val="single" w:color="auto" w:sz="8" w:space="0"/>
              <w:right w:val="single" w:color="auto" w:sz="4" w:space="0"/>
            </w:tcBorders>
            <w:vAlign w:val="center"/>
          </w:tcPr>
          <w:p w14:paraId="62FAF4C0">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75" w:type="dxa"/>
            <w:tcBorders>
              <w:top w:val="single" w:color="auto" w:sz="4" w:space="0"/>
              <w:left w:val="single" w:color="auto" w:sz="4" w:space="0"/>
              <w:bottom w:val="single" w:color="auto" w:sz="8" w:space="0"/>
              <w:right w:val="single" w:color="auto" w:sz="4" w:space="0"/>
            </w:tcBorders>
            <w:vAlign w:val="center"/>
          </w:tcPr>
          <w:p w14:paraId="398FC836">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78" w:type="dxa"/>
            <w:tcBorders>
              <w:top w:val="single" w:color="auto" w:sz="4" w:space="0"/>
              <w:left w:val="single" w:color="auto" w:sz="4" w:space="0"/>
              <w:bottom w:val="single" w:color="auto" w:sz="8" w:space="0"/>
            </w:tcBorders>
            <w:vAlign w:val="center"/>
          </w:tcPr>
          <w:p w14:paraId="7C55606A">
            <w:pPr>
              <w:widowControl/>
              <w:adjustRightInd/>
              <w:spacing w:line="240" w:lineRule="auto"/>
              <w:jc w:val="center"/>
              <w:rPr>
                <w:rFonts w:ascii="宋体" w:hAnsi="宋体" w:cs="宋体"/>
                <w:color w:val="000000"/>
                <w:kern w:val="0"/>
                <w:sz w:val="18"/>
                <w:szCs w:val="18"/>
              </w:rPr>
            </w:pPr>
            <w:r>
              <w:rPr>
                <w:rFonts w:hint="eastAsia" w:ascii="宋体" w:hAnsi="宋体" w:cs="宋体"/>
                <w:color w:val="000000"/>
                <w:kern w:val="0"/>
                <w:sz w:val="18"/>
                <w:szCs w:val="18"/>
              </w:rPr>
              <w:t>……</w:t>
            </w:r>
          </w:p>
        </w:tc>
      </w:tr>
      <w:tr w14:paraId="4971CA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4049" w:type="dxa"/>
            <w:gridSpan w:val="14"/>
            <w:tcBorders>
              <w:top w:val="single" w:color="auto" w:sz="8" w:space="0"/>
            </w:tcBorders>
          </w:tcPr>
          <w:p w14:paraId="4BC47AF7">
            <w:pPr>
              <w:widowControl w:val="0"/>
              <w:numPr>
                <w:ilvl w:val="0"/>
                <w:numId w:val="35"/>
              </w:numPr>
              <w:autoSpaceDE w:val="0"/>
              <w:autoSpaceDN w:val="0"/>
              <w:ind w:left="811" w:hanging="448"/>
              <w:jc w:val="both"/>
              <w:rPr>
                <w:rFonts w:ascii="宋体" w:hAnsi="Times New Roman" w:eastAsia="宋体" w:cs="Times New Roman"/>
                <w:sz w:val="18"/>
                <w:szCs w:val="18"/>
                <w:lang w:val="en-US" w:eastAsia="zh-CN" w:bidi="ar-SA"/>
              </w:rPr>
            </w:pPr>
            <w:r>
              <w:rPr>
                <w:rFonts w:hint="eastAsia" w:ascii="宋体" w:hAnsi="Times New Roman" w:eastAsia="宋体" w:cs="Times New Roman"/>
                <w:sz w:val="18"/>
                <w:szCs w:val="18"/>
                <w:lang w:val="en-US" w:eastAsia="zh-CN" w:bidi="ar-SA"/>
              </w:rPr>
              <w:t>环节是在指定工作场所，设备实现的主要功能或人员的主要工作内容。</w:t>
            </w:r>
          </w:p>
          <w:p w14:paraId="6B74AD18">
            <w:pPr>
              <w:widowControl w:val="0"/>
              <w:numPr>
                <w:ilvl w:val="0"/>
                <w:numId w:val="35"/>
              </w:numPr>
              <w:autoSpaceDE w:val="0"/>
              <w:autoSpaceDN w:val="0"/>
              <w:ind w:left="811" w:hanging="448"/>
              <w:jc w:val="both"/>
              <w:rPr>
                <w:rFonts w:ascii="宋体" w:hAnsi="Times New Roman" w:eastAsia="宋体" w:cs="Times New Roman"/>
                <w:sz w:val="18"/>
                <w:szCs w:val="18"/>
                <w:lang w:val="en-US" w:eastAsia="zh-CN" w:bidi="ar-SA"/>
              </w:rPr>
            </w:pPr>
            <w:r>
              <w:rPr>
                <w:rFonts w:hint="eastAsia" w:ascii="宋体" w:hAnsi="Times New Roman" w:eastAsia="宋体" w:cs="Times New Roman"/>
                <w:sz w:val="18"/>
                <w:szCs w:val="18"/>
                <w:lang w:val="en-US" w:eastAsia="zh-CN" w:bidi="ar-SA"/>
              </w:rPr>
              <w:t>危险物质/能量主要指可燃、易燃、易爆、毒害物质或动能、势能、热能、电能、辐射能等。</w:t>
            </w:r>
          </w:p>
          <w:p w14:paraId="72BA643C">
            <w:pPr>
              <w:widowControl w:val="0"/>
              <w:numPr>
                <w:ilvl w:val="0"/>
                <w:numId w:val="35"/>
              </w:numPr>
              <w:autoSpaceDE w:val="0"/>
              <w:autoSpaceDN w:val="0"/>
              <w:ind w:left="811" w:hanging="448"/>
              <w:jc w:val="both"/>
              <w:rPr>
                <w:rFonts w:ascii="宋体" w:hAnsi="Times New Roman" w:eastAsia="宋体" w:cs="Times New Roman"/>
                <w:sz w:val="18"/>
                <w:szCs w:val="18"/>
                <w:lang w:val="en-US" w:eastAsia="zh-CN" w:bidi="ar-SA"/>
              </w:rPr>
            </w:pPr>
            <w:r>
              <w:rPr>
                <w:rFonts w:hint="eastAsia" w:ascii="宋体" w:hAnsi="Times New Roman" w:eastAsia="宋体" w:cs="Times New Roman"/>
                <w:sz w:val="18"/>
                <w:szCs w:val="18"/>
                <w:lang w:val="en-US" w:eastAsia="zh-CN" w:bidi="ar-SA"/>
              </w:rPr>
              <w:t>触发事件是指危险升级为事故时所需要的事件或者条件。</w:t>
            </w:r>
          </w:p>
        </w:tc>
      </w:tr>
    </w:tbl>
    <w:p w14:paraId="30F746A6">
      <w:pPr>
        <w:pStyle w:val="51"/>
      </w:pPr>
    </w:p>
    <w:p w14:paraId="5E2E4AE3">
      <w:pPr>
        <w:pStyle w:val="51"/>
        <w:sectPr>
          <w:headerReference r:id="rId21" w:type="default"/>
          <w:footerReference r:id="rId23" w:type="default"/>
          <w:headerReference r:id="rId22" w:type="even"/>
          <w:footerReference r:id="rId24" w:type="even"/>
          <w:pgSz w:w="16838" w:h="11906" w:orient="landscape"/>
          <w:pgMar w:top="1134" w:right="1871" w:bottom="1134" w:left="1134" w:header="1418" w:footer="1247" w:gutter="283"/>
          <w:pgNumType w:fmt="decimal"/>
          <w:cols w:space="720" w:num="1"/>
          <w:formProt w:val="0"/>
          <w:docGrid w:type="lines" w:linePitch="316" w:charSpace="0"/>
        </w:sectPr>
      </w:pPr>
    </w:p>
    <w:p w14:paraId="1CD12B39">
      <w:pPr>
        <w:pStyle w:val="169"/>
      </w:pPr>
    </w:p>
    <w:p w14:paraId="70FD5C90">
      <w:pPr>
        <w:pStyle w:val="127"/>
      </w:pPr>
    </w:p>
    <w:p w14:paraId="176AC830">
      <w:pPr>
        <w:pStyle w:val="144"/>
        <w:spacing w:before="79" w:after="158"/>
      </w:pPr>
      <w:bookmarkStart w:id="110" w:name="_Toc3554"/>
      <w:bookmarkStart w:id="111" w:name="_Toc6864"/>
      <w:r>
        <w:rPr>
          <w:rFonts w:hint="eastAsia"/>
        </w:rPr>
        <w:br w:type="textWrapping"/>
      </w:r>
      <w:r>
        <w:rPr>
          <w:rFonts w:hint="eastAsia"/>
        </w:rPr>
        <w:t>（资料性）</w:t>
      </w:r>
      <w:r>
        <w:rPr>
          <w:rFonts w:hint="eastAsia"/>
        </w:rPr>
        <w:br w:type="textWrapping"/>
      </w:r>
      <w:r>
        <w:rPr>
          <w:rFonts w:hint="eastAsia"/>
        </w:rPr>
        <w:t>风险矩阵法（LS）</w:t>
      </w:r>
      <w:bookmarkEnd w:id="110"/>
      <w:bookmarkEnd w:id="111"/>
    </w:p>
    <w:p w14:paraId="25FEF386">
      <w:pPr>
        <w:pStyle w:val="51"/>
        <w:ind w:firstLine="420"/>
      </w:pPr>
      <w:bookmarkStart w:id="112" w:name="_Toc16771_WPSOffice_Level3"/>
      <w:r>
        <w:rPr>
          <w:rFonts w:hint="eastAsia"/>
        </w:rPr>
        <w:t>风险矩阵分析法（简称LS）是识别出每个作业活动可能存在的危害，并判定这种危害可能产生的后果及产生这种后果的可能性，二者相乘，得出所确定危害的风险，如式（C.1）所示：</w:t>
      </w:r>
    </w:p>
    <w:p w14:paraId="36C63596">
      <w:pPr>
        <w:pStyle w:val="171"/>
      </w:pPr>
      <w:r>
        <w:rPr>
          <w:rFonts w:hint="eastAsia"/>
        </w:rPr>
        <w:tab/>
      </w:r>
      <w:r>
        <w:rPr>
          <w:rFonts w:hint="eastAsia"/>
          <w:position w:val="-6"/>
        </w:rPr>
        <w:object>
          <v:shape id="_x0000_i1025" o:spt="75" type="#_x0000_t75" style="height:13.5pt;width:48pt;" o:ole="t" filled="f" o:preferrelative="t" stroked="f" coordsize="21600,21600">
            <v:path/>
            <v:fill on="f" focussize="0,0"/>
            <v:stroke on="f" joinstyle="miter"/>
            <v:imagedata r:id="rId32" o:title=""/>
            <o:lock v:ext="edit" aspectratio="t"/>
            <w10:wrap type="none"/>
            <w10:anchorlock/>
          </v:shape>
          <o:OLEObject Type="Embed" ProgID="Equation.3" ShapeID="_x0000_i1025" DrawAspect="Content" ObjectID="_1468075725" r:id="rId31">
            <o:LockedField>false</o:LockedField>
          </o:OLEObject>
        </w:object>
      </w:r>
      <w:r>
        <w:rPr>
          <w:rFonts w:hint="eastAsia" w:ascii="等线" w:hAnsi="等线" w:eastAsia="等线" w:cs="等线"/>
        </w:rPr>
        <w:tab/>
      </w:r>
      <w:r>
        <w:rPr>
          <w:rFonts w:hint="eastAsia"/>
        </w:rPr>
        <w:t>(C.</w:t>
      </w:r>
      <w:r>
        <w:rPr>
          <w:rFonts w:hint="eastAsia"/>
        </w:rPr>
        <w:fldChar w:fldCharType="begin"/>
      </w:r>
      <w:r>
        <w:rPr>
          <w:rFonts w:hint="eastAsia"/>
        </w:rPr>
        <w:instrText xml:space="preserve"> seq fulu_equation_133736004543354274 </w:instrText>
      </w:r>
      <w:r>
        <w:rPr>
          <w:rFonts w:hint="eastAsia"/>
        </w:rPr>
        <w:fldChar w:fldCharType="separate"/>
      </w:r>
      <w:r>
        <w:rPr>
          <w:rFonts w:hint="eastAsia"/>
        </w:rPr>
        <w:t>1</w:t>
      </w:r>
      <w:r>
        <w:rPr>
          <w:rFonts w:hint="eastAsia"/>
        </w:rPr>
        <w:fldChar w:fldCharType="end"/>
      </w:r>
      <w:r>
        <w:rPr>
          <w:rFonts w:hint="eastAsia"/>
        </w:rPr>
        <w:t>)</w:t>
      </w:r>
    </w:p>
    <w:p w14:paraId="3128361F">
      <w:pPr>
        <w:pStyle w:val="162"/>
        <w:ind w:firstLine="420"/>
      </w:pPr>
      <w:r>
        <w:rPr>
          <w:rFonts w:hint="eastAsia"/>
        </w:rPr>
        <w:t>式中：</w:t>
      </w:r>
    </w:p>
    <w:p w14:paraId="06B3C91C">
      <w:pPr>
        <w:pStyle w:val="51"/>
        <w:ind w:firstLine="420"/>
      </w:pPr>
      <w:r>
        <w:rPr>
          <w:rFonts w:ascii="Times New Roman"/>
          <w:i/>
          <w:iCs/>
        </w:rPr>
        <w:t>R</w:t>
      </w:r>
      <w:r>
        <w:rPr>
          <w:rFonts w:hint="eastAsia"/>
        </w:rPr>
        <w:t>——风险值；</w:t>
      </w:r>
    </w:p>
    <w:p w14:paraId="77A9BB50">
      <w:pPr>
        <w:pStyle w:val="51"/>
        <w:ind w:firstLine="420"/>
      </w:pPr>
      <w:r>
        <w:rPr>
          <w:rFonts w:ascii="Times New Roman"/>
          <w:i/>
          <w:iCs/>
        </w:rPr>
        <w:t>L</w:t>
      </w:r>
      <w:r>
        <w:rPr>
          <w:rFonts w:hint="eastAsia"/>
        </w:rPr>
        <w:t>——事故发生的可能性；</w:t>
      </w:r>
    </w:p>
    <w:p w14:paraId="4CC9F949">
      <w:pPr>
        <w:pStyle w:val="51"/>
        <w:ind w:firstLine="420"/>
      </w:pPr>
      <w:r>
        <w:rPr>
          <w:rFonts w:ascii="Times New Roman"/>
          <w:i/>
          <w:iCs/>
        </w:rPr>
        <w:t>S</w:t>
      </w:r>
      <w:r>
        <w:rPr>
          <w:rFonts w:hint="eastAsia"/>
        </w:rPr>
        <w:t>——事故后果的严重性。</w:t>
      </w:r>
    </w:p>
    <w:p w14:paraId="32EAC2A6">
      <w:pPr>
        <w:pStyle w:val="147"/>
        <w:spacing w:before="158" w:after="158"/>
      </w:pPr>
      <w:r>
        <w:rPr>
          <w:rFonts w:hint="eastAsia"/>
        </w:rPr>
        <w:t>事故发生的可能性</w:t>
      </w:r>
    </w:p>
    <w:tbl>
      <w:tblPr>
        <w:tblStyle w:val="27"/>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34"/>
        <w:gridCol w:w="8439"/>
      </w:tblGrid>
      <w:tr w14:paraId="66ACD1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98" w:type="pct"/>
            <w:tcBorders>
              <w:bottom w:val="single" w:color="auto" w:sz="8" w:space="0"/>
            </w:tcBorders>
            <w:vAlign w:val="center"/>
          </w:tcPr>
          <w:p w14:paraId="088A523D">
            <w:pPr>
              <w:widowControl/>
              <w:adjustRightInd/>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等级</w:t>
            </w:r>
          </w:p>
        </w:tc>
        <w:tc>
          <w:tcPr>
            <w:tcW w:w="4501" w:type="pct"/>
            <w:tcBorders>
              <w:bottom w:val="single" w:color="auto" w:sz="8" w:space="0"/>
            </w:tcBorders>
            <w:vAlign w:val="center"/>
          </w:tcPr>
          <w:p w14:paraId="386F08B4">
            <w:pPr>
              <w:widowControl/>
              <w:adjustRightInd/>
              <w:spacing w:line="240" w:lineRule="auto"/>
              <w:jc w:val="center"/>
              <w:rPr>
                <w:rFonts w:ascii="宋体" w:hAnsi="宋体" w:cs="宋体"/>
                <w:snapToGrid w:val="0"/>
                <w:color w:val="000000"/>
                <w:kern w:val="0"/>
                <w:sz w:val="18"/>
                <w:szCs w:val="18"/>
              </w:rPr>
            </w:pPr>
            <w:r>
              <w:rPr>
                <w:rFonts w:hint="eastAsia" w:ascii="宋体" w:hAnsi="宋体" w:cs="宋体"/>
                <w:color w:val="000000"/>
                <w:kern w:val="0"/>
                <w:sz w:val="18"/>
                <w:szCs w:val="18"/>
              </w:rPr>
              <w:t>标准</w:t>
            </w:r>
          </w:p>
        </w:tc>
      </w:tr>
      <w:tr w14:paraId="3989F5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98" w:type="pct"/>
            <w:tcBorders>
              <w:top w:val="single" w:color="auto" w:sz="8" w:space="0"/>
            </w:tcBorders>
            <w:vAlign w:val="center"/>
          </w:tcPr>
          <w:p w14:paraId="1DF42B95">
            <w:pPr>
              <w:adjustRightInd/>
              <w:spacing w:after="120" w:line="240" w:lineRule="auto"/>
              <w:jc w:val="center"/>
              <w:rPr>
                <w:rFonts w:ascii="仿宋_GB2312" w:hAnsi="Times New Roman" w:eastAsia="仿宋_GB2312"/>
                <w:b/>
                <w:sz w:val="18"/>
                <w:szCs w:val="18"/>
              </w:rPr>
            </w:pPr>
            <w:r>
              <w:rPr>
                <w:rFonts w:hint="eastAsia" w:ascii="宋体" w:hAnsi="宋体" w:cs="宋体"/>
                <w:snapToGrid w:val="0"/>
                <w:color w:val="000000"/>
                <w:kern w:val="0"/>
                <w:sz w:val="18"/>
                <w:szCs w:val="18"/>
              </w:rPr>
              <w:t>5</w:t>
            </w:r>
          </w:p>
        </w:tc>
        <w:tc>
          <w:tcPr>
            <w:tcW w:w="4501" w:type="pct"/>
            <w:tcBorders>
              <w:top w:val="single" w:color="auto" w:sz="8" w:space="0"/>
            </w:tcBorders>
            <w:vAlign w:val="center"/>
          </w:tcPr>
          <w:p w14:paraId="57FA3CDD">
            <w:pPr>
              <w:widowControl/>
              <w:adjustRightInd/>
              <w:spacing w:line="240" w:lineRule="auto"/>
              <w:rPr>
                <w:rFonts w:ascii="宋体" w:hAnsi="宋体" w:cs="宋体"/>
                <w:snapToGrid w:val="0"/>
                <w:color w:val="000000"/>
                <w:kern w:val="0"/>
                <w:sz w:val="18"/>
                <w:szCs w:val="18"/>
              </w:rPr>
            </w:pPr>
            <w:r>
              <w:rPr>
                <w:rFonts w:hint="eastAsia" w:ascii="宋体" w:hAnsi="宋体" w:cs="宋体"/>
                <w:snapToGrid w:val="0"/>
                <w:color w:val="000000"/>
                <w:kern w:val="0"/>
                <w:sz w:val="18"/>
                <w:szCs w:val="18"/>
              </w:rPr>
              <w:t>在现场没有采取防范、监测、保护、控制措施，或危害发生不能被发现（没有监测系统），或在正常情况下经常发生此类事故或事件。</w:t>
            </w:r>
          </w:p>
        </w:tc>
      </w:tr>
      <w:tr w14:paraId="6FB595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98" w:type="pct"/>
            <w:vAlign w:val="center"/>
          </w:tcPr>
          <w:p w14:paraId="09CEFA31">
            <w:pPr>
              <w:adjustRightInd/>
              <w:spacing w:after="120" w:line="240" w:lineRule="auto"/>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4</w:t>
            </w:r>
          </w:p>
        </w:tc>
        <w:tc>
          <w:tcPr>
            <w:tcW w:w="4501" w:type="pct"/>
            <w:vAlign w:val="center"/>
          </w:tcPr>
          <w:p w14:paraId="518B4EE2">
            <w:pPr>
              <w:widowControl/>
              <w:adjustRightInd/>
              <w:spacing w:line="240" w:lineRule="auto"/>
              <w:rPr>
                <w:rFonts w:ascii="宋体" w:hAnsi="宋体" w:cs="宋体"/>
                <w:snapToGrid w:val="0"/>
                <w:color w:val="000000"/>
                <w:kern w:val="0"/>
                <w:sz w:val="18"/>
                <w:szCs w:val="18"/>
              </w:rPr>
            </w:pPr>
            <w:r>
              <w:rPr>
                <w:rFonts w:hint="eastAsia" w:ascii="宋体" w:hAnsi="宋体" w:cs="宋体"/>
                <w:snapToGrid w:val="0"/>
                <w:color w:val="000000"/>
                <w:kern w:val="0"/>
                <w:sz w:val="18"/>
                <w:szCs w:val="18"/>
              </w:rPr>
              <w:t>危害的发生不容易被发现，现场没有检测系统，也未发生过任何监测，或在现场有控制措施，但未有效执行或控制措施不当，或危害发生或预期情况下发生。</w:t>
            </w:r>
          </w:p>
        </w:tc>
      </w:tr>
      <w:tr w14:paraId="5806F4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98" w:type="pct"/>
            <w:vAlign w:val="center"/>
          </w:tcPr>
          <w:p w14:paraId="0801AA0B">
            <w:pPr>
              <w:adjustRightInd/>
              <w:spacing w:after="120" w:line="240" w:lineRule="auto"/>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3</w:t>
            </w:r>
          </w:p>
        </w:tc>
        <w:tc>
          <w:tcPr>
            <w:tcW w:w="4501" w:type="pct"/>
            <w:vAlign w:val="center"/>
          </w:tcPr>
          <w:p w14:paraId="56FCBF5C">
            <w:pPr>
              <w:widowControl/>
              <w:adjustRightInd/>
              <w:spacing w:line="240" w:lineRule="auto"/>
              <w:rPr>
                <w:rFonts w:ascii="宋体" w:hAnsi="宋体" w:cs="宋体"/>
                <w:snapToGrid w:val="0"/>
                <w:color w:val="000000"/>
                <w:kern w:val="0"/>
                <w:sz w:val="18"/>
                <w:szCs w:val="18"/>
              </w:rPr>
            </w:pPr>
            <w:r>
              <w:rPr>
                <w:rFonts w:hint="eastAsia" w:ascii="宋体" w:hAnsi="宋体" w:cs="宋体"/>
                <w:snapToGrid w:val="0"/>
                <w:color w:val="000000"/>
                <w:kern w:val="0"/>
                <w:sz w:val="18"/>
                <w:szCs w:val="18"/>
              </w:rPr>
              <w:t>没有保护措施（如没有保护装置、没有个人防护用品等），或未严格按操作规程执行，或危害的发生容易被发现（现场有监测系统），或曾经做过监测，或过去曾经发生类似事故或事件。</w:t>
            </w:r>
          </w:p>
        </w:tc>
      </w:tr>
      <w:tr w14:paraId="581F04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98" w:type="pct"/>
            <w:vAlign w:val="center"/>
          </w:tcPr>
          <w:p w14:paraId="03DADAAB">
            <w:pPr>
              <w:adjustRightInd/>
              <w:spacing w:after="120" w:line="240" w:lineRule="auto"/>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2</w:t>
            </w:r>
          </w:p>
        </w:tc>
        <w:tc>
          <w:tcPr>
            <w:tcW w:w="4501" w:type="pct"/>
            <w:vAlign w:val="center"/>
          </w:tcPr>
          <w:p w14:paraId="53A82BD2">
            <w:pPr>
              <w:widowControl/>
              <w:adjustRightInd/>
              <w:spacing w:line="240" w:lineRule="auto"/>
              <w:rPr>
                <w:rFonts w:ascii="宋体" w:hAnsi="宋体" w:cs="宋体"/>
                <w:snapToGrid w:val="0"/>
                <w:color w:val="000000"/>
                <w:kern w:val="0"/>
                <w:sz w:val="18"/>
                <w:szCs w:val="18"/>
              </w:rPr>
            </w:pPr>
            <w:r>
              <w:rPr>
                <w:rFonts w:hint="eastAsia" w:ascii="宋体" w:hAnsi="宋体" w:cs="宋体"/>
                <w:snapToGrid w:val="0"/>
                <w:color w:val="000000"/>
                <w:kern w:val="0"/>
                <w:sz w:val="18"/>
                <w:szCs w:val="18"/>
              </w:rPr>
              <w:t>危害一旦发生能及时发现，并定期进行检测，或现场有防范控制措施，并能有效执行，或过去偶尔发生事故或事件。</w:t>
            </w:r>
          </w:p>
        </w:tc>
      </w:tr>
      <w:tr w14:paraId="142FBC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98" w:type="pct"/>
            <w:vAlign w:val="center"/>
          </w:tcPr>
          <w:p w14:paraId="15A115E4">
            <w:pPr>
              <w:adjustRightInd/>
              <w:spacing w:after="120" w:line="240" w:lineRule="auto"/>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1</w:t>
            </w:r>
          </w:p>
        </w:tc>
        <w:tc>
          <w:tcPr>
            <w:tcW w:w="4501" w:type="pct"/>
            <w:vAlign w:val="center"/>
          </w:tcPr>
          <w:p w14:paraId="118051E8">
            <w:pPr>
              <w:widowControl/>
              <w:adjustRightInd/>
              <w:spacing w:line="240" w:lineRule="auto"/>
              <w:rPr>
                <w:rFonts w:ascii="宋体" w:hAnsi="宋体" w:cs="宋体"/>
                <w:snapToGrid w:val="0"/>
                <w:color w:val="000000"/>
                <w:kern w:val="0"/>
                <w:sz w:val="18"/>
                <w:szCs w:val="18"/>
              </w:rPr>
            </w:pPr>
            <w:r>
              <w:rPr>
                <w:rFonts w:hint="eastAsia" w:ascii="宋体" w:hAnsi="宋体" w:cs="宋体"/>
                <w:snapToGrid w:val="0"/>
                <w:color w:val="000000"/>
                <w:kern w:val="0"/>
                <w:sz w:val="18"/>
                <w:szCs w:val="18"/>
              </w:rPr>
              <w:t>有充分、有效的防范、控制、监测、保护措施，或员工安全卫生意识相当高，严格执行操作规程，极不可能发生事故或事件。</w:t>
            </w:r>
          </w:p>
        </w:tc>
      </w:tr>
    </w:tbl>
    <w:p w14:paraId="08D27886">
      <w:pPr>
        <w:pStyle w:val="147"/>
        <w:spacing w:before="158" w:after="158"/>
      </w:pPr>
      <w:r>
        <w:rPr>
          <w:rFonts w:hint="eastAsia"/>
        </w:rPr>
        <w:t>事故后果的严重性</w:t>
      </w:r>
    </w:p>
    <w:tbl>
      <w:tblPr>
        <w:tblStyle w:val="27"/>
        <w:tblW w:w="501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28"/>
        <w:gridCol w:w="2698"/>
        <w:gridCol w:w="1525"/>
        <w:gridCol w:w="1113"/>
        <w:gridCol w:w="1550"/>
        <w:gridCol w:w="1595"/>
      </w:tblGrid>
      <w:tr w14:paraId="3A1FE5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93" w:type="pct"/>
            <w:tcBorders>
              <w:bottom w:val="single" w:color="auto" w:sz="8" w:space="0"/>
            </w:tcBorders>
            <w:vAlign w:val="center"/>
          </w:tcPr>
          <w:p w14:paraId="20AA83EB">
            <w:pPr>
              <w:adjustRightInd/>
              <w:spacing w:after="120" w:line="240" w:lineRule="auto"/>
              <w:jc w:val="center"/>
              <w:rPr>
                <w:rFonts w:ascii="宋体" w:hAnsi="宋体" w:cs="宋体"/>
                <w:bCs/>
                <w:sz w:val="18"/>
                <w:szCs w:val="18"/>
              </w:rPr>
            </w:pPr>
            <w:r>
              <w:rPr>
                <w:rFonts w:hint="eastAsia" w:ascii="宋体" w:hAnsi="宋体" w:cs="宋体"/>
                <w:bCs/>
                <w:sz w:val="18"/>
                <w:szCs w:val="18"/>
              </w:rPr>
              <w:t>等级</w:t>
            </w:r>
          </w:p>
        </w:tc>
        <w:tc>
          <w:tcPr>
            <w:tcW w:w="1433" w:type="pct"/>
            <w:tcBorders>
              <w:bottom w:val="single" w:color="auto" w:sz="8" w:space="0"/>
            </w:tcBorders>
            <w:vAlign w:val="center"/>
          </w:tcPr>
          <w:p w14:paraId="4A6CF99F">
            <w:pPr>
              <w:widowControl/>
              <w:adjustRightInd/>
              <w:spacing w:line="240" w:lineRule="auto"/>
              <w:jc w:val="center"/>
              <w:rPr>
                <w:rFonts w:ascii="宋体" w:hAnsi="宋体" w:cs="宋体"/>
                <w:bCs/>
                <w:sz w:val="18"/>
                <w:szCs w:val="18"/>
              </w:rPr>
            </w:pPr>
            <w:r>
              <w:rPr>
                <w:rFonts w:hint="eastAsia" w:ascii="宋体" w:hAnsi="宋体" w:cs="宋体"/>
                <w:bCs/>
                <w:sz w:val="18"/>
                <w:szCs w:val="18"/>
              </w:rPr>
              <w:t>法律法规及其他要求</w:t>
            </w:r>
          </w:p>
        </w:tc>
        <w:tc>
          <w:tcPr>
            <w:tcW w:w="810" w:type="pct"/>
            <w:tcBorders>
              <w:bottom w:val="single" w:color="auto" w:sz="8" w:space="0"/>
            </w:tcBorders>
            <w:vAlign w:val="center"/>
          </w:tcPr>
          <w:p w14:paraId="27CB2E31">
            <w:pPr>
              <w:widowControl/>
              <w:adjustRightInd/>
              <w:spacing w:line="240" w:lineRule="auto"/>
              <w:jc w:val="center"/>
              <w:rPr>
                <w:rFonts w:ascii="宋体" w:hAnsi="宋体" w:cs="宋体"/>
                <w:bCs/>
                <w:sz w:val="18"/>
                <w:szCs w:val="18"/>
              </w:rPr>
            </w:pPr>
            <w:r>
              <w:rPr>
                <w:rFonts w:hint="eastAsia" w:ascii="宋体" w:hAnsi="宋体" w:cs="宋体"/>
                <w:bCs/>
                <w:sz w:val="18"/>
                <w:szCs w:val="18"/>
              </w:rPr>
              <w:t>人员</w:t>
            </w:r>
          </w:p>
        </w:tc>
        <w:tc>
          <w:tcPr>
            <w:tcW w:w="591" w:type="pct"/>
            <w:tcBorders>
              <w:bottom w:val="single" w:color="auto" w:sz="8" w:space="0"/>
            </w:tcBorders>
            <w:vAlign w:val="center"/>
          </w:tcPr>
          <w:p w14:paraId="535C2958">
            <w:pPr>
              <w:widowControl/>
              <w:adjustRightInd/>
              <w:spacing w:line="240" w:lineRule="auto"/>
              <w:jc w:val="center"/>
              <w:rPr>
                <w:rFonts w:ascii="宋体" w:hAnsi="宋体" w:cs="宋体"/>
                <w:bCs/>
                <w:sz w:val="18"/>
                <w:szCs w:val="18"/>
              </w:rPr>
            </w:pPr>
            <w:r>
              <w:rPr>
                <w:rFonts w:hint="eastAsia" w:ascii="宋体" w:hAnsi="宋体" w:cs="宋体"/>
                <w:bCs/>
                <w:sz w:val="18"/>
                <w:szCs w:val="18"/>
              </w:rPr>
              <w:t>直接经济损失</w:t>
            </w:r>
          </w:p>
        </w:tc>
        <w:tc>
          <w:tcPr>
            <w:tcW w:w="823" w:type="pct"/>
            <w:tcBorders>
              <w:bottom w:val="single" w:color="auto" w:sz="8" w:space="0"/>
            </w:tcBorders>
            <w:vAlign w:val="center"/>
          </w:tcPr>
          <w:p w14:paraId="12678746">
            <w:pPr>
              <w:widowControl/>
              <w:adjustRightInd/>
              <w:spacing w:line="240" w:lineRule="auto"/>
              <w:jc w:val="center"/>
              <w:rPr>
                <w:rFonts w:ascii="宋体" w:hAnsi="宋体" w:cs="宋体"/>
                <w:bCs/>
                <w:sz w:val="18"/>
                <w:szCs w:val="18"/>
              </w:rPr>
            </w:pPr>
            <w:r>
              <w:rPr>
                <w:rFonts w:hint="eastAsia" w:ascii="宋体" w:hAnsi="宋体" w:cs="宋体"/>
                <w:bCs/>
                <w:sz w:val="18"/>
                <w:szCs w:val="18"/>
              </w:rPr>
              <w:t>停工</w:t>
            </w:r>
          </w:p>
        </w:tc>
        <w:tc>
          <w:tcPr>
            <w:tcW w:w="847" w:type="pct"/>
            <w:tcBorders>
              <w:bottom w:val="single" w:color="auto" w:sz="8" w:space="0"/>
            </w:tcBorders>
            <w:vAlign w:val="center"/>
          </w:tcPr>
          <w:p w14:paraId="7E964193">
            <w:pPr>
              <w:widowControl/>
              <w:adjustRightInd/>
              <w:spacing w:line="240" w:lineRule="auto"/>
              <w:jc w:val="center"/>
              <w:rPr>
                <w:rFonts w:ascii="宋体" w:hAnsi="宋体" w:cs="宋体"/>
                <w:bCs/>
                <w:sz w:val="18"/>
                <w:szCs w:val="18"/>
              </w:rPr>
            </w:pPr>
            <w:r>
              <w:rPr>
                <w:rFonts w:hint="eastAsia" w:ascii="宋体" w:hAnsi="宋体" w:cs="宋体"/>
                <w:bCs/>
                <w:sz w:val="18"/>
                <w:szCs w:val="18"/>
              </w:rPr>
              <w:t>企业形象</w:t>
            </w:r>
          </w:p>
        </w:tc>
      </w:tr>
      <w:tr w14:paraId="104524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93" w:type="pct"/>
            <w:tcBorders>
              <w:top w:val="single" w:color="auto" w:sz="8" w:space="0"/>
            </w:tcBorders>
            <w:vAlign w:val="center"/>
          </w:tcPr>
          <w:p w14:paraId="6E894105">
            <w:pPr>
              <w:adjustRightInd/>
              <w:spacing w:after="120" w:line="240" w:lineRule="auto"/>
              <w:jc w:val="center"/>
              <w:rPr>
                <w:rFonts w:ascii="宋体" w:hAnsi="宋体" w:cs="宋体"/>
                <w:bCs/>
                <w:sz w:val="18"/>
                <w:szCs w:val="18"/>
              </w:rPr>
            </w:pPr>
            <w:r>
              <w:rPr>
                <w:rFonts w:hint="eastAsia" w:ascii="宋体" w:hAnsi="宋体" w:cs="宋体"/>
                <w:bCs/>
                <w:sz w:val="18"/>
                <w:szCs w:val="18"/>
              </w:rPr>
              <w:t>5</w:t>
            </w:r>
          </w:p>
        </w:tc>
        <w:tc>
          <w:tcPr>
            <w:tcW w:w="1433" w:type="pct"/>
            <w:tcBorders>
              <w:top w:val="single" w:color="auto" w:sz="8" w:space="0"/>
            </w:tcBorders>
            <w:vAlign w:val="center"/>
          </w:tcPr>
          <w:p w14:paraId="7E343E42">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违反法律、法规和标准</w:t>
            </w:r>
          </w:p>
        </w:tc>
        <w:tc>
          <w:tcPr>
            <w:tcW w:w="810" w:type="pct"/>
            <w:tcBorders>
              <w:top w:val="single" w:color="auto" w:sz="8" w:space="0"/>
            </w:tcBorders>
            <w:vAlign w:val="center"/>
          </w:tcPr>
          <w:p w14:paraId="00799016">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死亡</w:t>
            </w:r>
          </w:p>
        </w:tc>
        <w:tc>
          <w:tcPr>
            <w:tcW w:w="591" w:type="pct"/>
            <w:tcBorders>
              <w:top w:val="single" w:color="auto" w:sz="8" w:space="0"/>
            </w:tcBorders>
            <w:vAlign w:val="center"/>
          </w:tcPr>
          <w:p w14:paraId="4EFE6245">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100万元以上</w:t>
            </w:r>
          </w:p>
        </w:tc>
        <w:tc>
          <w:tcPr>
            <w:tcW w:w="823" w:type="pct"/>
            <w:tcBorders>
              <w:top w:val="single" w:color="auto" w:sz="8" w:space="0"/>
            </w:tcBorders>
            <w:vAlign w:val="center"/>
          </w:tcPr>
          <w:p w14:paraId="69E9BDA9">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2套以上装置或设备停工</w:t>
            </w:r>
          </w:p>
        </w:tc>
        <w:tc>
          <w:tcPr>
            <w:tcW w:w="847" w:type="pct"/>
            <w:tcBorders>
              <w:top w:val="single" w:color="auto" w:sz="8" w:space="0"/>
            </w:tcBorders>
            <w:vAlign w:val="center"/>
          </w:tcPr>
          <w:p w14:paraId="6FE6A0C9">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重大国际影响</w:t>
            </w:r>
          </w:p>
        </w:tc>
      </w:tr>
      <w:tr w14:paraId="6F51EC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93" w:type="pct"/>
            <w:vAlign w:val="center"/>
          </w:tcPr>
          <w:p w14:paraId="16AD8E56">
            <w:pPr>
              <w:adjustRightInd/>
              <w:spacing w:after="120" w:line="240" w:lineRule="auto"/>
              <w:jc w:val="center"/>
              <w:rPr>
                <w:rFonts w:ascii="宋体" w:hAnsi="宋体" w:cs="宋体"/>
                <w:bCs/>
                <w:sz w:val="18"/>
                <w:szCs w:val="18"/>
              </w:rPr>
            </w:pPr>
            <w:r>
              <w:rPr>
                <w:rFonts w:hint="eastAsia" w:ascii="宋体" w:hAnsi="宋体" w:cs="宋体"/>
                <w:bCs/>
                <w:sz w:val="18"/>
                <w:szCs w:val="18"/>
              </w:rPr>
              <w:t>4</w:t>
            </w:r>
          </w:p>
        </w:tc>
        <w:tc>
          <w:tcPr>
            <w:tcW w:w="1433" w:type="pct"/>
            <w:vAlign w:val="center"/>
          </w:tcPr>
          <w:p w14:paraId="40B38377">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潜在违反法规和标准</w:t>
            </w:r>
          </w:p>
        </w:tc>
        <w:tc>
          <w:tcPr>
            <w:tcW w:w="810" w:type="pct"/>
            <w:vAlign w:val="center"/>
          </w:tcPr>
          <w:p w14:paraId="4CCABD8E">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丧失劳动能力</w:t>
            </w:r>
          </w:p>
        </w:tc>
        <w:tc>
          <w:tcPr>
            <w:tcW w:w="591" w:type="pct"/>
            <w:vAlign w:val="center"/>
          </w:tcPr>
          <w:p w14:paraId="54011D76">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50万元以上</w:t>
            </w:r>
          </w:p>
        </w:tc>
        <w:tc>
          <w:tcPr>
            <w:tcW w:w="823" w:type="pct"/>
            <w:vAlign w:val="center"/>
          </w:tcPr>
          <w:p w14:paraId="5552C04E">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2装置或设备停工</w:t>
            </w:r>
          </w:p>
        </w:tc>
        <w:tc>
          <w:tcPr>
            <w:tcW w:w="847" w:type="pct"/>
            <w:vAlign w:val="center"/>
          </w:tcPr>
          <w:p w14:paraId="1906ABBB">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行业内、省内影响</w:t>
            </w:r>
          </w:p>
        </w:tc>
      </w:tr>
      <w:tr w14:paraId="578C2E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93" w:type="pct"/>
            <w:vAlign w:val="center"/>
          </w:tcPr>
          <w:p w14:paraId="0DC65D56">
            <w:pPr>
              <w:adjustRightInd/>
              <w:spacing w:after="120" w:line="240" w:lineRule="auto"/>
              <w:jc w:val="center"/>
              <w:rPr>
                <w:rFonts w:ascii="宋体" w:hAnsi="宋体" w:cs="宋体"/>
                <w:bCs/>
                <w:sz w:val="18"/>
                <w:szCs w:val="18"/>
              </w:rPr>
            </w:pPr>
            <w:r>
              <w:rPr>
                <w:rFonts w:hint="eastAsia" w:ascii="宋体" w:hAnsi="宋体" w:cs="宋体"/>
                <w:bCs/>
                <w:sz w:val="18"/>
                <w:szCs w:val="18"/>
              </w:rPr>
              <w:t>3</w:t>
            </w:r>
          </w:p>
        </w:tc>
        <w:tc>
          <w:tcPr>
            <w:tcW w:w="1433" w:type="pct"/>
            <w:vAlign w:val="center"/>
          </w:tcPr>
          <w:p w14:paraId="3A92648A">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不符合上级公司或行业的的安全生产方针、制度、规定等</w:t>
            </w:r>
          </w:p>
        </w:tc>
        <w:tc>
          <w:tcPr>
            <w:tcW w:w="810" w:type="pct"/>
            <w:vAlign w:val="center"/>
          </w:tcPr>
          <w:p w14:paraId="64EA5029">
            <w:pPr>
              <w:widowControl/>
              <w:adjustRightInd/>
              <w:spacing w:line="240" w:lineRule="auto"/>
              <w:jc w:val="center"/>
              <w:rPr>
                <w:rFonts w:ascii="宋体" w:hAnsi="宋体" w:cs="宋体"/>
                <w:bCs/>
                <w:sz w:val="18"/>
                <w:szCs w:val="18"/>
              </w:rPr>
            </w:pPr>
            <w:r>
              <w:rPr>
                <w:rFonts w:hint="eastAsia" w:ascii="宋体" w:hAnsi="宋体" w:cs="宋体"/>
                <w:bCs/>
                <w:sz w:val="18"/>
                <w:szCs w:val="18"/>
              </w:rPr>
              <w:t>截肢、骨折、听力丧失、慢性病</w:t>
            </w:r>
          </w:p>
        </w:tc>
        <w:tc>
          <w:tcPr>
            <w:tcW w:w="591" w:type="pct"/>
            <w:vAlign w:val="center"/>
          </w:tcPr>
          <w:p w14:paraId="11D01E7F">
            <w:pPr>
              <w:widowControl/>
              <w:adjustRightInd/>
              <w:spacing w:line="240" w:lineRule="auto"/>
              <w:jc w:val="center"/>
              <w:rPr>
                <w:rFonts w:ascii="宋体" w:hAnsi="宋体" w:cs="宋体"/>
                <w:bCs/>
                <w:sz w:val="18"/>
                <w:szCs w:val="18"/>
              </w:rPr>
            </w:pPr>
            <w:r>
              <w:rPr>
                <w:rFonts w:hint="eastAsia" w:ascii="宋体" w:hAnsi="宋体" w:cs="宋体"/>
                <w:bCs/>
                <w:sz w:val="18"/>
                <w:szCs w:val="18"/>
              </w:rPr>
              <w:t>1万元以上</w:t>
            </w:r>
          </w:p>
        </w:tc>
        <w:tc>
          <w:tcPr>
            <w:tcW w:w="823" w:type="pct"/>
            <w:vAlign w:val="center"/>
          </w:tcPr>
          <w:p w14:paraId="3F598BC0">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1套装置或设备停工</w:t>
            </w:r>
          </w:p>
        </w:tc>
        <w:tc>
          <w:tcPr>
            <w:tcW w:w="847" w:type="pct"/>
            <w:vAlign w:val="center"/>
          </w:tcPr>
          <w:p w14:paraId="355C3BD8">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地区影响</w:t>
            </w:r>
          </w:p>
        </w:tc>
      </w:tr>
      <w:tr w14:paraId="13881A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93" w:type="pct"/>
            <w:vAlign w:val="center"/>
          </w:tcPr>
          <w:p w14:paraId="20C03153">
            <w:pPr>
              <w:adjustRightInd/>
              <w:spacing w:after="120" w:line="240" w:lineRule="auto"/>
              <w:jc w:val="center"/>
              <w:rPr>
                <w:rFonts w:ascii="宋体" w:hAnsi="宋体" w:cs="宋体"/>
                <w:bCs/>
                <w:sz w:val="18"/>
                <w:szCs w:val="18"/>
              </w:rPr>
            </w:pPr>
            <w:r>
              <w:rPr>
                <w:rFonts w:hint="eastAsia" w:ascii="宋体" w:hAnsi="宋体" w:cs="宋体"/>
                <w:bCs/>
                <w:sz w:val="18"/>
                <w:szCs w:val="18"/>
              </w:rPr>
              <w:t>2</w:t>
            </w:r>
          </w:p>
        </w:tc>
        <w:tc>
          <w:tcPr>
            <w:tcW w:w="1433" w:type="pct"/>
            <w:vAlign w:val="center"/>
          </w:tcPr>
          <w:p w14:paraId="3A619156">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不符合企业的操作程序、规定</w:t>
            </w:r>
          </w:p>
        </w:tc>
        <w:tc>
          <w:tcPr>
            <w:tcW w:w="810" w:type="pct"/>
            <w:vAlign w:val="center"/>
          </w:tcPr>
          <w:p w14:paraId="657E03E9">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轻微受伤、间歇不适</w:t>
            </w:r>
          </w:p>
        </w:tc>
        <w:tc>
          <w:tcPr>
            <w:tcW w:w="591" w:type="pct"/>
            <w:vAlign w:val="center"/>
          </w:tcPr>
          <w:p w14:paraId="3AFF45A8">
            <w:pPr>
              <w:widowControl/>
              <w:adjustRightInd/>
              <w:spacing w:line="240" w:lineRule="auto"/>
              <w:jc w:val="center"/>
              <w:rPr>
                <w:rFonts w:ascii="宋体" w:hAnsi="宋体" w:cs="宋体"/>
                <w:bCs/>
                <w:sz w:val="18"/>
                <w:szCs w:val="18"/>
              </w:rPr>
            </w:pPr>
            <w:r>
              <w:rPr>
                <w:rFonts w:hint="eastAsia" w:ascii="宋体" w:hAnsi="宋体" w:cs="宋体"/>
                <w:bCs/>
                <w:sz w:val="18"/>
                <w:szCs w:val="18"/>
              </w:rPr>
              <w:t>1万元以下</w:t>
            </w:r>
          </w:p>
        </w:tc>
        <w:tc>
          <w:tcPr>
            <w:tcW w:w="823" w:type="pct"/>
            <w:vAlign w:val="center"/>
          </w:tcPr>
          <w:p w14:paraId="5BBE01AD">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受影响不大,几乎不停工</w:t>
            </w:r>
          </w:p>
        </w:tc>
        <w:tc>
          <w:tcPr>
            <w:tcW w:w="847" w:type="pct"/>
            <w:vAlign w:val="center"/>
          </w:tcPr>
          <w:p w14:paraId="3E7BD538">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公司及周边范围</w:t>
            </w:r>
          </w:p>
        </w:tc>
      </w:tr>
      <w:tr w14:paraId="77E10E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93" w:type="pct"/>
            <w:vAlign w:val="center"/>
          </w:tcPr>
          <w:p w14:paraId="13F18DDF">
            <w:pPr>
              <w:adjustRightInd/>
              <w:spacing w:after="120" w:line="240" w:lineRule="auto"/>
              <w:jc w:val="center"/>
              <w:rPr>
                <w:rFonts w:ascii="宋体" w:hAnsi="宋体" w:cs="宋体"/>
                <w:bCs/>
                <w:sz w:val="18"/>
                <w:szCs w:val="18"/>
              </w:rPr>
            </w:pPr>
            <w:r>
              <w:rPr>
                <w:rFonts w:hint="eastAsia" w:ascii="宋体" w:hAnsi="宋体" w:cs="宋体"/>
                <w:bCs/>
                <w:sz w:val="18"/>
                <w:szCs w:val="18"/>
              </w:rPr>
              <w:t>1</w:t>
            </w:r>
          </w:p>
        </w:tc>
        <w:tc>
          <w:tcPr>
            <w:tcW w:w="1433" w:type="pct"/>
            <w:vAlign w:val="center"/>
          </w:tcPr>
          <w:p w14:paraId="02553C08">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完全符合</w:t>
            </w:r>
          </w:p>
        </w:tc>
        <w:tc>
          <w:tcPr>
            <w:tcW w:w="810" w:type="pct"/>
            <w:vAlign w:val="center"/>
          </w:tcPr>
          <w:p w14:paraId="0238251A">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无伤亡</w:t>
            </w:r>
          </w:p>
        </w:tc>
        <w:tc>
          <w:tcPr>
            <w:tcW w:w="591" w:type="pct"/>
            <w:vAlign w:val="center"/>
          </w:tcPr>
          <w:p w14:paraId="346E1228">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无损失</w:t>
            </w:r>
          </w:p>
        </w:tc>
        <w:tc>
          <w:tcPr>
            <w:tcW w:w="823" w:type="pct"/>
            <w:vAlign w:val="center"/>
          </w:tcPr>
          <w:p w14:paraId="29D7D70E">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没有停工</w:t>
            </w:r>
          </w:p>
        </w:tc>
        <w:tc>
          <w:tcPr>
            <w:tcW w:w="847" w:type="pct"/>
            <w:vAlign w:val="center"/>
          </w:tcPr>
          <w:p w14:paraId="43F8D3CF">
            <w:pPr>
              <w:widowControl/>
              <w:adjustRightInd/>
              <w:spacing w:line="240" w:lineRule="auto"/>
              <w:jc w:val="center"/>
              <w:rPr>
                <w:rFonts w:ascii="宋体" w:hAnsi="宋体" w:cs="宋体"/>
                <w:bCs/>
                <w:sz w:val="18"/>
                <w:szCs w:val="18"/>
              </w:rPr>
            </w:pPr>
            <w:r>
              <w:rPr>
                <w:rFonts w:hint="eastAsia" w:ascii="宋体" w:hAnsi="宋体" w:cs="宋体"/>
                <w:bCs/>
                <w:color w:val="000000"/>
                <w:kern w:val="0"/>
                <w:sz w:val="18"/>
                <w:szCs w:val="18"/>
              </w:rPr>
              <w:t>形象没有受损</w:t>
            </w:r>
          </w:p>
        </w:tc>
      </w:tr>
      <w:bookmarkEnd w:id="112"/>
    </w:tbl>
    <w:p w14:paraId="1679A4B5">
      <w:pPr>
        <w:adjustRightInd/>
        <w:spacing w:line="240" w:lineRule="auto"/>
        <w:jc w:val="center"/>
        <w:rPr>
          <w:rFonts w:ascii="黑体" w:hAnsi="黑体" w:eastAsia="黑体" w:cs="黑体"/>
          <w:lang w:eastAsia="en-US"/>
        </w:rPr>
      </w:pPr>
      <w:bookmarkStart w:id="113" w:name="_Toc13418_WPSOffice_Level3"/>
    </w:p>
    <w:p w14:paraId="043328F6">
      <w:pPr>
        <w:adjustRightInd/>
        <w:spacing w:line="240" w:lineRule="auto"/>
        <w:jc w:val="center"/>
        <w:rPr>
          <w:rFonts w:ascii="黑体" w:hAnsi="黑体" w:eastAsia="黑体" w:cs="黑体"/>
          <w:lang w:eastAsia="en-US"/>
        </w:rPr>
      </w:pPr>
    </w:p>
    <w:p w14:paraId="554FB6EE">
      <w:pPr>
        <w:adjustRightInd/>
        <w:spacing w:line="240" w:lineRule="auto"/>
        <w:jc w:val="center"/>
        <w:rPr>
          <w:rFonts w:ascii="黑体" w:hAnsi="黑体" w:eastAsia="黑体" w:cs="黑体"/>
          <w:lang w:eastAsia="en-US"/>
        </w:rPr>
      </w:pPr>
    </w:p>
    <w:p w14:paraId="2BCD33F4">
      <w:pPr>
        <w:adjustRightInd/>
        <w:spacing w:line="240" w:lineRule="auto"/>
        <w:jc w:val="center"/>
        <w:rPr>
          <w:rFonts w:ascii="黑体" w:hAnsi="黑体" w:eastAsia="黑体" w:cs="黑体"/>
          <w:lang w:eastAsia="en-US"/>
        </w:rPr>
      </w:pPr>
    </w:p>
    <w:p w14:paraId="7D2EC2BB">
      <w:pPr>
        <w:adjustRightInd/>
        <w:spacing w:line="240" w:lineRule="auto"/>
        <w:jc w:val="center"/>
        <w:rPr>
          <w:rFonts w:ascii="黑体" w:hAnsi="黑体" w:eastAsia="黑体" w:cs="黑体"/>
          <w:lang w:eastAsia="en-US"/>
        </w:rPr>
      </w:pPr>
    </w:p>
    <w:p w14:paraId="4D3F06E5">
      <w:pPr>
        <w:pStyle w:val="147"/>
        <w:spacing w:before="158" w:after="158"/>
        <w:rPr>
          <w:rFonts w:hAnsi="黑体" w:cs="黑体"/>
        </w:rPr>
      </w:pPr>
      <w:r>
        <w:rPr>
          <w:rFonts w:hint="eastAsia" w:hAnsi="黑体" w:cs="黑体"/>
        </w:rPr>
        <w:t>安全风险等级判定准则及控制措施</w:t>
      </w:r>
    </w:p>
    <w:tbl>
      <w:tblPr>
        <w:tblStyle w:val="27"/>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14"/>
        <w:gridCol w:w="908"/>
        <w:gridCol w:w="1155"/>
        <w:gridCol w:w="4474"/>
        <w:gridCol w:w="1920"/>
      </w:tblGrid>
      <w:tr w14:paraId="596697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488" w:type="pct"/>
            <w:tcBorders>
              <w:bottom w:val="single" w:color="auto" w:sz="8" w:space="0"/>
            </w:tcBorders>
            <w:vAlign w:val="center"/>
          </w:tcPr>
          <w:p w14:paraId="1F8F136A">
            <w:pPr>
              <w:adjustRightInd/>
              <w:spacing w:line="240" w:lineRule="auto"/>
              <w:jc w:val="center"/>
              <w:rPr>
                <w:rFonts w:ascii="宋体" w:hAnsi="宋体" w:cs="宋体"/>
                <w:bCs/>
                <w:sz w:val="18"/>
                <w:szCs w:val="18"/>
              </w:rPr>
            </w:pPr>
            <w:r>
              <w:rPr>
                <w:rFonts w:hint="eastAsia" w:ascii="宋体" w:hAnsi="宋体" w:cs="宋体"/>
                <w:bCs/>
                <w:sz w:val="18"/>
                <w:szCs w:val="18"/>
              </w:rPr>
              <w:t>风险值</w:t>
            </w:r>
          </w:p>
        </w:tc>
        <w:tc>
          <w:tcPr>
            <w:tcW w:w="1100" w:type="pct"/>
            <w:gridSpan w:val="2"/>
            <w:tcBorders>
              <w:bottom w:val="single" w:color="auto" w:sz="8" w:space="0"/>
            </w:tcBorders>
            <w:vAlign w:val="center"/>
          </w:tcPr>
          <w:p w14:paraId="7EF82DD9">
            <w:pPr>
              <w:adjustRightInd/>
              <w:spacing w:line="240" w:lineRule="auto"/>
              <w:jc w:val="center"/>
              <w:rPr>
                <w:rFonts w:ascii="宋体" w:hAnsi="宋体" w:cs="宋体"/>
                <w:bCs/>
                <w:sz w:val="18"/>
                <w:szCs w:val="18"/>
              </w:rPr>
            </w:pPr>
            <w:r>
              <w:rPr>
                <w:rFonts w:hint="eastAsia" w:ascii="宋体" w:hAnsi="宋体" w:cs="宋体"/>
                <w:bCs/>
                <w:sz w:val="18"/>
                <w:szCs w:val="18"/>
              </w:rPr>
              <w:t>风险等级</w:t>
            </w:r>
          </w:p>
        </w:tc>
        <w:tc>
          <w:tcPr>
            <w:tcW w:w="2386" w:type="pct"/>
            <w:tcBorders>
              <w:bottom w:val="single" w:color="auto" w:sz="8" w:space="0"/>
            </w:tcBorders>
            <w:vAlign w:val="center"/>
          </w:tcPr>
          <w:p w14:paraId="7C621058">
            <w:pPr>
              <w:adjustRightInd/>
              <w:spacing w:line="240" w:lineRule="auto"/>
              <w:jc w:val="center"/>
              <w:rPr>
                <w:rFonts w:ascii="宋体" w:hAnsi="宋体" w:cs="宋体"/>
                <w:bCs/>
                <w:sz w:val="18"/>
                <w:szCs w:val="18"/>
              </w:rPr>
            </w:pPr>
            <w:r>
              <w:rPr>
                <w:rFonts w:hint="eastAsia" w:ascii="宋体" w:hAnsi="宋体" w:cs="宋体"/>
                <w:bCs/>
                <w:sz w:val="18"/>
                <w:szCs w:val="18"/>
              </w:rPr>
              <w:t>应采取的行动/控制措施</w:t>
            </w:r>
          </w:p>
        </w:tc>
        <w:tc>
          <w:tcPr>
            <w:tcW w:w="1024" w:type="pct"/>
            <w:tcBorders>
              <w:bottom w:val="single" w:color="auto" w:sz="8" w:space="0"/>
            </w:tcBorders>
            <w:vAlign w:val="center"/>
          </w:tcPr>
          <w:p w14:paraId="0396D09A">
            <w:pPr>
              <w:adjustRightInd/>
              <w:spacing w:line="240" w:lineRule="auto"/>
              <w:jc w:val="center"/>
              <w:rPr>
                <w:rFonts w:ascii="宋体" w:hAnsi="宋体" w:cs="宋体"/>
                <w:bCs/>
                <w:sz w:val="18"/>
                <w:szCs w:val="18"/>
              </w:rPr>
            </w:pPr>
            <w:r>
              <w:rPr>
                <w:rFonts w:hint="eastAsia" w:ascii="宋体" w:hAnsi="宋体" w:cs="宋体"/>
                <w:bCs/>
                <w:sz w:val="18"/>
                <w:szCs w:val="18"/>
              </w:rPr>
              <w:t>实施期限</w:t>
            </w:r>
          </w:p>
        </w:tc>
      </w:tr>
      <w:tr w14:paraId="657568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488" w:type="pct"/>
            <w:tcBorders>
              <w:top w:val="single" w:color="auto" w:sz="8" w:space="0"/>
            </w:tcBorders>
            <w:shd w:val="clear" w:color="auto" w:fill="auto"/>
            <w:vAlign w:val="center"/>
          </w:tcPr>
          <w:p w14:paraId="2A41EFD6">
            <w:pPr>
              <w:adjustRightInd/>
              <w:spacing w:line="240" w:lineRule="auto"/>
              <w:jc w:val="center"/>
              <w:rPr>
                <w:rFonts w:ascii="宋体" w:hAnsi="宋体" w:cs="宋体"/>
                <w:bCs/>
                <w:sz w:val="18"/>
                <w:szCs w:val="18"/>
              </w:rPr>
            </w:pPr>
            <w:r>
              <w:rPr>
                <w:rFonts w:hint="eastAsia" w:ascii="宋体" w:hAnsi="宋体" w:cs="宋体"/>
                <w:bCs/>
                <w:sz w:val="18"/>
                <w:szCs w:val="18"/>
              </w:rPr>
              <w:t>20-25</w:t>
            </w:r>
          </w:p>
        </w:tc>
        <w:tc>
          <w:tcPr>
            <w:tcW w:w="484" w:type="pct"/>
            <w:tcBorders>
              <w:top w:val="single" w:color="auto" w:sz="8" w:space="0"/>
            </w:tcBorders>
            <w:shd w:val="clear" w:color="auto" w:fill="FF0000"/>
            <w:vAlign w:val="center"/>
          </w:tcPr>
          <w:p w14:paraId="670CA295">
            <w:pPr>
              <w:adjustRightInd/>
              <w:spacing w:line="240" w:lineRule="auto"/>
              <w:jc w:val="center"/>
              <w:rPr>
                <w:rFonts w:ascii="宋体" w:hAnsi="宋体" w:cs="宋体"/>
                <w:bCs/>
                <w:sz w:val="18"/>
                <w:szCs w:val="18"/>
              </w:rPr>
            </w:pPr>
            <w:r>
              <w:rPr>
                <w:rFonts w:hint="eastAsia" w:ascii="宋体" w:hAnsi="宋体" w:cs="宋体"/>
                <w:bCs/>
                <w:sz w:val="18"/>
                <w:szCs w:val="18"/>
              </w:rPr>
              <w:t>A/1级</w:t>
            </w:r>
          </w:p>
        </w:tc>
        <w:tc>
          <w:tcPr>
            <w:tcW w:w="616" w:type="pct"/>
            <w:tcBorders>
              <w:top w:val="single" w:color="auto" w:sz="8" w:space="0"/>
            </w:tcBorders>
            <w:vAlign w:val="center"/>
          </w:tcPr>
          <w:p w14:paraId="3C32240C">
            <w:pPr>
              <w:adjustRightInd/>
              <w:spacing w:line="240" w:lineRule="auto"/>
              <w:jc w:val="center"/>
              <w:rPr>
                <w:rFonts w:ascii="宋体" w:hAnsi="宋体" w:cs="宋体"/>
                <w:bCs/>
                <w:sz w:val="18"/>
                <w:szCs w:val="18"/>
              </w:rPr>
            </w:pPr>
            <w:r>
              <w:rPr>
                <w:rFonts w:hint="eastAsia" w:ascii="宋体" w:hAnsi="宋体" w:cs="宋体"/>
                <w:bCs/>
                <w:sz w:val="18"/>
                <w:szCs w:val="18"/>
              </w:rPr>
              <w:t>极其危险</w:t>
            </w:r>
          </w:p>
        </w:tc>
        <w:tc>
          <w:tcPr>
            <w:tcW w:w="2386" w:type="pct"/>
            <w:tcBorders>
              <w:top w:val="single" w:color="auto" w:sz="8" w:space="0"/>
            </w:tcBorders>
            <w:vAlign w:val="center"/>
          </w:tcPr>
          <w:p w14:paraId="2D530B8D">
            <w:pPr>
              <w:adjustRightInd/>
              <w:spacing w:line="240" w:lineRule="auto"/>
              <w:jc w:val="center"/>
              <w:rPr>
                <w:rFonts w:ascii="宋体" w:hAnsi="宋体" w:cs="宋体"/>
                <w:bCs/>
                <w:sz w:val="18"/>
                <w:szCs w:val="18"/>
              </w:rPr>
            </w:pPr>
            <w:r>
              <w:rPr>
                <w:rFonts w:hint="eastAsia" w:ascii="宋体" w:hAnsi="宋体" w:cs="宋体"/>
                <w:bCs/>
                <w:sz w:val="18"/>
                <w:szCs w:val="18"/>
              </w:rPr>
              <w:t>在采取措施降低危害前，不能继续作业，对改进措施进行评估</w:t>
            </w:r>
          </w:p>
        </w:tc>
        <w:tc>
          <w:tcPr>
            <w:tcW w:w="1024" w:type="pct"/>
            <w:tcBorders>
              <w:top w:val="single" w:color="auto" w:sz="8" w:space="0"/>
            </w:tcBorders>
            <w:vAlign w:val="center"/>
          </w:tcPr>
          <w:p w14:paraId="12E10425">
            <w:pPr>
              <w:adjustRightInd/>
              <w:spacing w:line="240" w:lineRule="auto"/>
              <w:jc w:val="center"/>
              <w:rPr>
                <w:rFonts w:ascii="宋体" w:hAnsi="宋体" w:cs="宋体"/>
                <w:bCs/>
                <w:sz w:val="18"/>
                <w:szCs w:val="18"/>
              </w:rPr>
            </w:pPr>
            <w:r>
              <w:rPr>
                <w:rFonts w:hint="eastAsia" w:ascii="宋体" w:hAnsi="宋体" w:cs="宋体"/>
                <w:bCs/>
                <w:sz w:val="18"/>
                <w:szCs w:val="18"/>
              </w:rPr>
              <w:t>立刻</w:t>
            </w:r>
          </w:p>
        </w:tc>
      </w:tr>
      <w:tr w14:paraId="5C2AB5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488" w:type="pct"/>
            <w:shd w:val="clear" w:color="auto" w:fill="auto"/>
            <w:vAlign w:val="center"/>
          </w:tcPr>
          <w:p w14:paraId="3C35B0FC">
            <w:pPr>
              <w:adjustRightInd/>
              <w:spacing w:line="240" w:lineRule="auto"/>
              <w:jc w:val="center"/>
              <w:rPr>
                <w:rFonts w:ascii="宋体" w:hAnsi="宋体" w:cs="宋体"/>
                <w:bCs/>
                <w:sz w:val="18"/>
                <w:szCs w:val="18"/>
              </w:rPr>
            </w:pPr>
            <w:r>
              <w:rPr>
                <w:rFonts w:hint="eastAsia" w:ascii="宋体" w:hAnsi="宋体" w:cs="宋体"/>
                <w:bCs/>
                <w:sz w:val="18"/>
                <w:szCs w:val="18"/>
              </w:rPr>
              <w:t>15-16</w:t>
            </w:r>
          </w:p>
        </w:tc>
        <w:tc>
          <w:tcPr>
            <w:tcW w:w="484" w:type="pct"/>
            <w:shd w:val="clear" w:color="auto" w:fill="FFC000"/>
            <w:vAlign w:val="center"/>
          </w:tcPr>
          <w:p w14:paraId="65D80002">
            <w:pPr>
              <w:adjustRightInd/>
              <w:spacing w:line="240" w:lineRule="auto"/>
              <w:jc w:val="center"/>
              <w:rPr>
                <w:rFonts w:ascii="宋体" w:hAnsi="宋体" w:cs="宋体"/>
                <w:bCs/>
                <w:sz w:val="18"/>
                <w:szCs w:val="18"/>
              </w:rPr>
            </w:pPr>
            <w:r>
              <w:rPr>
                <w:rFonts w:hint="eastAsia" w:ascii="宋体" w:hAnsi="宋体" w:cs="宋体"/>
                <w:bCs/>
                <w:sz w:val="18"/>
                <w:szCs w:val="18"/>
              </w:rPr>
              <w:t>B/2级</w:t>
            </w:r>
          </w:p>
        </w:tc>
        <w:tc>
          <w:tcPr>
            <w:tcW w:w="616" w:type="pct"/>
            <w:vAlign w:val="center"/>
          </w:tcPr>
          <w:p w14:paraId="3F21F1B5">
            <w:pPr>
              <w:adjustRightInd/>
              <w:spacing w:line="240" w:lineRule="auto"/>
              <w:jc w:val="center"/>
              <w:rPr>
                <w:rFonts w:ascii="宋体" w:hAnsi="宋体" w:cs="宋体"/>
                <w:bCs/>
                <w:sz w:val="18"/>
                <w:szCs w:val="18"/>
              </w:rPr>
            </w:pPr>
            <w:r>
              <w:rPr>
                <w:rFonts w:hint="eastAsia" w:ascii="宋体" w:hAnsi="宋体" w:cs="宋体"/>
                <w:bCs/>
                <w:sz w:val="18"/>
                <w:szCs w:val="18"/>
              </w:rPr>
              <w:t>高度危险</w:t>
            </w:r>
          </w:p>
        </w:tc>
        <w:tc>
          <w:tcPr>
            <w:tcW w:w="2386" w:type="pct"/>
            <w:vAlign w:val="center"/>
          </w:tcPr>
          <w:p w14:paraId="67D724D7">
            <w:pPr>
              <w:adjustRightInd/>
              <w:spacing w:line="240" w:lineRule="auto"/>
              <w:jc w:val="center"/>
              <w:rPr>
                <w:rFonts w:ascii="宋体" w:hAnsi="宋体" w:cs="宋体"/>
                <w:bCs/>
                <w:sz w:val="18"/>
                <w:szCs w:val="18"/>
              </w:rPr>
            </w:pPr>
            <w:r>
              <w:rPr>
                <w:rFonts w:hint="eastAsia" w:ascii="宋体" w:hAnsi="宋体" w:cs="宋体"/>
                <w:bCs/>
                <w:sz w:val="18"/>
                <w:szCs w:val="18"/>
              </w:rPr>
              <w:t>采取紧急措施降低风险，建立运行控制程序，定期检查、测量及评估</w:t>
            </w:r>
          </w:p>
        </w:tc>
        <w:tc>
          <w:tcPr>
            <w:tcW w:w="1024" w:type="pct"/>
            <w:vAlign w:val="center"/>
          </w:tcPr>
          <w:p w14:paraId="55A5C6AD">
            <w:pPr>
              <w:adjustRightInd/>
              <w:spacing w:line="240" w:lineRule="auto"/>
              <w:jc w:val="center"/>
              <w:rPr>
                <w:rFonts w:ascii="宋体" w:hAnsi="宋体" w:cs="宋体"/>
                <w:bCs/>
                <w:sz w:val="18"/>
                <w:szCs w:val="18"/>
              </w:rPr>
            </w:pPr>
            <w:r>
              <w:rPr>
                <w:rFonts w:hint="eastAsia" w:ascii="宋体" w:hAnsi="宋体" w:cs="宋体"/>
                <w:bCs/>
                <w:sz w:val="18"/>
                <w:szCs w:val="18"/>
              </w:rPr>
              <w:t>立即或近期整改</w:t>
            </w:r>
          </w:p>
        </w:tc>
      </w:tr>
      <w:tr w14:paraId="6F7420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488" w:type="pct"/>
            <w:shd w:val="clear" w:color="auto" w:fill="auto"/>
            <w:vAlign w:val="center"/>
          </w:tcPr>
          <w:p w14:paraId="1BB44B0F">
            <w:pPr>
              <w:adjustRightInd/>
              <w:spacing w:line="240" w:lineRule="auto"/>
              <w:jc w:val="center"/>
              <w:rPr>
                <w:rFonts w:ascii="宋体" w:hAnsi="宋体" w:cs="宋体"/>
                <w:bCs/>
                <w:sz w:val="18"/>
                <w:szCs w:val="18"/>
              </w:rPr>
            </w:pPr>
            <w:r>
              <w:rPr>
                <w:rFonts w:hint="eastAsia" w:ascii="宋体" w:hAnsi="宋体" w:cs="宋体"/>
                <w:bCs/>
                <w:sz w:val="18"/>
                <w:szCs w:val="18"/>
              </w:rPr>
              <w:t>9-12</w:t>
            </w:r>
          </w:p>
        </w:tc>
        <w:tc>
          <w:tcPr>
            <w:tcW w:w="484" w:type="pct"/>
            <w:shd w:val="clear" w:color="auto" w:fill="FFFF00"/>
            <w:vAlign w:val="center"/>
          </w:tcPr>
          <w:p w14:paraId="174002AA">
            <w:pPr>
              <w:adjustRightInd/>
              <w:spacing w:line="240" w:lineRule="auto"/>
              <w:jc w:val="center"/>
              <w:rPr>
                <w:rFonts w:ascii="宋体" w:hAnsi="宋体" w:cs="宋体"/>
                <w:bCs/>
                <w:sz w:val="18"/>
                <w:szCs w:val="18"/>
              </w:rPr>
            </w:pPr>
            <w:r>
              <w:rPr>
                <w:rFonts w:hint="eastAsia" w:ascii="宋体" w:hAnsi="宋体" w:cs="宋体"/>
                <w:bCs/>
                <w:sz w:val="18"/>
                <w:szCs w:val="18"/>
              </w:rPr>
              <w:t>C/3级</w:t>
            </w:r>
          </w:p>
        </w:tc>
        <w:tc>
          <w:tcPr>
            <w:tcW w:w="616" w:type="pct"/>
            <w:vAlign w:val="center"/>
          </w:tcPr>
          <w:p w14:paraId="61519054">
            <w:pPr>
              <w:adjustRightInd/>
              <w:spacing w:line="240" w:lineRule="auto"/>
              <w:jc w:val="center"/>
              <w:rPr>
                <w:rFonts w:ascii="宋体" w:hAnsi="宋体" w:cs="宋体"/>
                <w:bCs/>
                <w:sz w:val="18"/>
                <w:szCs w:val="18"/>
              </w:rPr>
            </w:pPr>
            <w:r>
              <w:rPr>
                <w:rFonts w:hint="eastAsia" w:ascii="宋体" w:hAnsi="宋体" w:cs="宋体"/>
                <w:bCs/>
                <w:sz w:val="18"/>
                <w:szCs w:val="18"/>
              </w:rPr>
              <w:t>显著危险</w:t>
            </w:r>
          </w:p>
        </w:tc>
        <w:tc>
          <w:tcPr>
            <w:tcW w:w="2386" w:type="pct"/>
            <w:vAlign w:val="center"/>
          </w:tcPr>
          <w:p w14:paraId="7F27898F">
            <w:pPr>
              <w:adjustRightInd/>
              <w:spacing w:line="240" w:lineRule="auto"/>
              <w:jc w:val="center"/>
              <w:rPr>
                <w:rFonts w:ascii="宋体" w:hAnsi="宋体" w:cs="宋体"/>
                <w:bCs/>
                <w:sz w:val="18"/>
                <w:szCs w:val="18"/>
              </w:rPr>
            </w:pPr>
            <w:r>
              <w:rPr>
                <w:rFonts w:hint="eastAsia" w:ascii="宋体" w:hAnsi="宋体" w:cs="宋体"/>
                <w:bCs/>
                <w:sz w:val="18"/>
                <w:szCs w:val="18"/>
              </w:rPr>
              <w:t>可考虑建立目标、建立操作规程，加强培训及沟通</w:t>
            </w:r>
          </w:p>
        </w:tc>
        <w:tc>
          <w:tcPr>
            <w:tcW w:w="1024" w:type="pct"/>
            <w:vAlign w:val="center"/>
          </w:tcPr>
          <w:p w14:paraId="621BEB82">
            <w:pPr>
              <w:adjustRightInd/>
              <w:spacing w:line="240" w:lineRule="auto"/>
              <w:jc w:val="center"/>
              <w:rPr>
                <w:rFonts w:ascii="宋体" w:hAnsi="宋体" w:cs="宋体"/>
                <w:bCs/>
                <w:sz w:val="18"/>
                <w:szCs w:val="18"/>
              </w:rPr>
            </w:pPr>
            <w:r>
              <w:rPr>
                <w:rFonts w:hint="eastAsia" w:ascii="宋体" w:hAnsi="宋体" w:cs="宋体"/>
                <w:bCs/>
                <w:sz w:val="18"/>
                <w:szCs w:val="18"/>
              </w:rPr>
              <w:t>2年内治理</w:t>
            </w:r>
          </w:p>
        </w:tc>
      </w:tr>
      <w:tr w14:paraId="4783E4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488" w:type="pct"/>
            <w:shd w:val="clear" w:color="auto" w:fill="auto"/>
            <w:vAlign w:val="center"/>
          </w:tcPr>
          <w:p w14:paraId="3813DB0A">
            <w:pPr>
              <w:adjustRightInd/>
              <w:spacing w:line="240" w:lineRule="auto"/>
              <w:jc w:val="center"/>
              <w:rPr>
                <w:rFonts w:ascii="宋体" w:hAnsi="宋体" w:cs="宋体"/>
                <w:bCs/>
                <w:sz w:val="18"/>
                <w:szCs w:val="18"/>
              </w:rPr>
            </w:pPr>
            <w:r>
              <w:rPr>
                <w:rFonts w:hint="eastAsia" w:ascii="宋体" w:hAnsi="宋体" w:cs="宋体"/>
                <w:bCs/>
                <w:sz w:val="18"/>
                <w:szCs w:val="18"/>
              </w:rPr>
              <w:t>4-8</w:t>
            </w:r>
          </w:p>
        </w:tc>
        <w:tc>
          <w:tcPr>
            <w:tcW w:w="484" w:type="pct"/>
            <w:shd w:val="clear" w:color="auto" w:fill="00B0F0"/>
            <w:vAlign w:val="center"/>
          </w:tcPr>
          <w:p w14:paraId="01C43028">
            <w:pPr>
              <w:adjustRightInd/>
              <w:spacing w:line="240" w:lineRule="auto"/>
              <w:jc w:val="center"/>
              <w:rPr>
                <w:rFonts w:ascii="宋体" w:hAnsi="宋体" w:cs="宋体"/>
                <w:bCs/>
                <w:sz w:val="18"/>
                <w:szCs w:val="18"/>
              </w:rPr>
            </w:pPr>
            <w:r>
              <w:rPr>
                <w:rFonts w:hint="eastAsia" w:ascii="宋体" w:hAnsi="宋体" w:cs="宋体"/>
                <w:bCs/>
                <w:sz w:val="18"/>
                <w:szCs w:val="18"/>
              </w:rPr>
              <w:t>D/4级</w:t>
            </w:r>
          </w:p>
        </w:tc>
        <w:tc>
          <w:tcPr>
            <w:tcW w:w="616" w:type="pct"/>
            <w:vAlign w:val="center"/>
          </w:tcPr>
          <w:p w14:paraId="6946C2D9">
            <w:pPr>
              <w:adjustRightInd/>
              <w:spacing w:line="240" w:lineRule="auto"/>
              <w:jc w:val="center"/>
              <w:rPr>
                <w:rFonts w:ascii="宋体" w:hAnsi="宋体" w:cs="宋体"/>
                <w:bCs/>
                <w:sz w:val="18"/>
                <w:szCs w:val="18"/>
              </w:rPr>
            </w:pPr>
            <w:r>
              <w:rPr>
                <w:rFonts w:hint="eastAsia" w:ascii="宋体" w:hAnsi="宋体" w:cs="宋体"/>
                <w:bCs/>
                <w:sz w:val="18"/>
                <w:szCs w:val="18"/>
              </w:rPr>
              <w:t>轻度危险</w:t>
            </w:r>
          </w:p>
        </w:tc>
        <w:tc>
          <w:tcPr>
            <w:tcW w:w="2386" w:type="pct"/>
            <w:vAlign w:val="center"/>
          </w:tcPr>
          <w:p w14:paraId="10FBD64A">
            <w:pPr>
              <w:adjustRightInd/>
              <w:spacing w:line="240" w:lineRule="auto"/>
              <w:jc w:val="center"/>
              <w:rPr>
                <w:rFonts w:ascii="宋体" w:hAnsi="宋体" w:cs="宋体"/>
                <w:bCs/>
                <w:sz w:val="18"/>
                <w:szCs w:val="18"/>
              </w:rPr>
            </w:pPr>
            <w:r>
              <w:rPr>
                <w:rFonts w:hint="eastAsia" w:ascii="宋体" w:hAnsi="宋体" w:cs="宋体"/>
                <w:bCs/>
                <w:sz w:val="18"/>
                <w:szCs w:val="18"/>
              </w:rPr>
              <w:t>可考虑建立操作规程、作业指导书，但需定期检查</w:t>
            </w:r>
          </w:p>
        </w:tc>
        <w:tc>
          <w:tcPr>
            <w:tcW w:w="1024" w:type="pct"/>
            <w:vAlign w:val="center"/>
          </w:tcPr>
          <w:p w14:paraId="0BC39958">
            <w:pPr>
              <w:adjustRightInd/>
              <w:spacing w:line="240" w:lineRule="auto"/>
              <w:jc w:val="center"/>
              <w:rPr>
                <w:rFonts w:ascii="宋体" w:hAnsi="宋体" w:cs="宋体"/>
                <w:bCs/>
                <w:sz w:val="18"/>
                <w:szCs w:val="18"/>
              </w:rPr>
            </w:pPr>
            <w:r>
              <w:rPr>
                <w:rFonts w:hint="eastAsia" w:ascii="宋体" w:hAnsi="宋体" w:cs="宋体"/>
                <w:bCs/>
                <w:sz w:val="18"/>
                <w:szCs w:val="18"/>
              </w:rPr>
              <w:t>有条件、有经费时治理</w:t>
            </w:r>
          </w:p>
        </w:tc>
      </w:tr>
      <w:tr w14:paraId="7AC518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488" w:type="pct"/>
            <w:shd w:val="clear" w:color="auto" w:fill="auto"/>
            <w:vAlign w:val="center"/>
          </w:tcPr>
          <w:p w14:paraId="62C98E8B">
            <w:pPr>
              <w:adjustRightInd/>
              <w:spacing w:line="240" w:lineRule="auto"/>
              <w:jc w:val="center"/>
              <w:rPr>
                <w:rFonts w:ascii="宋体" w:hAnsi="宋体" w:cs="宋体"/>
                <w:bCs/>
                <w:sz w:val="18"/>
                <w:szCs w:val="18"/>
              </w:rPr>
            </w:pPr>
            <w:r>
              <w:rPr>
                <w:rFonts w:hint="eastAsia" w:ascii="宋体" w:hAnsi="宋体" w:cs="宋体"/>
                <w:bCs/>
                <w:sz w:val="18"/>
                <w:szCs w:val="18"/>
              </w:rPr>
              <w:t>1-3</w:t>
            </w:r>
          </w:p>
        </w:tc>
        <w:tc>
          <w:tcPr>
            <w:tcW w:w="484" w:type="pct"/>
            <w:shd w:val="clear" w:color="auto" w:fill="00B0F0"/>
            <w:vAlign w:val="center"/>
          </w:tcPr>
          <w:p w14:paraId="7F766A78">
            <w:pPr>
              <w:adjustRightInd/>
              <w:spacing w:line="240" w:lineRule="auto"/>
              <w:jc w:val="center"/>
              <w:rPr>
                <w:rFonts w:ascii="宋体" w:hAnsi="宋体" w:cs="宋体"/>
                <w:bCs/>
                <w:sz w:val="18"/>
                <w:szCs w:val="18"/>
              </w:rPr>
            </w:pPr>
            <w:r>
              <w:rPr>
                <w:rFonts w:hint="eastAsia" w:ascii="宋体" w:hAnsi="宋体" w:cs="宋体"/>
                <w:bCs/>
                <w:sz w:val="18"/>
                <w:szCs w:val="18"/>
              </w:rPr>
              <w:t>E/5级</w:t>
            </w:r>
          </w:p>
        </w:tc>
        <w:tc>
          <w:tcPr>
            <w:tcW w:w="616" w:type="pct"/>
            <w:vAlign w:val="center"/>
          </w:tcPr>
          <w:p w14:paraId="7A2F21D5">
            <w:pPr>
              <w:adjustRightInd/>
              <w:spacing w:line="240" w:lineRule="auto"/>
              <w:jc w:val="center"/>
              <w:rPr>
                <w:rFonts w:ascii="宋体" w:hAnsi="宋体" w:cs="宋体"/>
                <w:bCs/>
                <w:sz w:val="18"/>
                <w:szCs w:val="18"/>
              </w:rPr>
            </w:pPr>
            <w:r>
              <w:rPr>
                <w:rFonts w:hint="eastAsia" w:ascii="宋体" w:hAnsi="宋体" w:cs="宋体"/>
                <w:bCs/>
                <w:sz w:val="18"/>
                <w:szCs w:val="18"/>
              </w:rPr>
              <w:t>稍有危险</w:t>
            </w:r>
          </w:p>
        </w:tc>
        <w:tc>
          <w:tcPr>
            <w:tcW w:w="2386" w:type="pct"/>
            <w:vAlign w:val="center"/>
          </w:tcPr>
          <w:p w14:paraId="29184378">
            <w:pPr>
              <w:adjustRightInd/>
              <w:spacing w:line="240" w:lineRule="auto"/>
              <w:jc w:val="center"/>
              <w:rPr>
                <w:rFonts w:ascii="宋体" w:hAnsi="宋体" w:cs="宋体"/>
                <w:bCs/>
                <w:sz w:val="18"/>
                <w:szCs w:val="18"/>
              </w:rPr>
            </w:pPr>
            <w:r>
              <w:rPr>
                <w:rFonts w:hint="eastAsia" w:ascii="宋体" w:hAnsi="宋体" w:cs="宋体"/>
                <w:bCs/>
                <w:sz w:val="18"/>
                <w:szCs w:val="18"/>
              </w:rPr>
              <w:t>无需采用控制措施</w:t>
            </w:r>
          </w:p>
        </w:tc>
        <w:tc>
          <w:tcPr>
            <w:tcW w:w="1024" w:type="pct"/>
            <w:vAlign w:val="center"/>
          </w:tcPr>
          <w:p w14:paraId="2F9A6257">
            <w:pPr>
              <w:adjustRightInd/>
              <w:spacing w:line="240" w:lineRule="auto"/>
              <w:jc w:val="center"/>
              <w:rPr>
                <w:rFonts w:ascii="宋体" w:hAnsi="宋体" w:cs="宋体"/>
                <w:bCs/>
                <w:sz w:val="18"/>
                <w:szCs w:val="18"/>
              </w:rPr>
            </w:pPr>
            <w:r>
              <w:rPr>
                <w:rFonts w:hint="eastAsia" w:ascii="宋体" w:hAnsi="宋体" w:cs="宋体"/>
                <w:bCs/>
                <w:sz w:val="18"/>
                <w:szCs w:val="18"/>
              </w:rPr>
              <w:t>需保存记录</w:t>
            </w:r>
          </w:p>
        </w:tc>
      </w:tr>
    </w:tbl>
    <w:p w14:paraId="67542933">
      <w:pPr>
        <w:pStyle w:val="147"/>
        <w:spacing w:before="158" w:after="158"/>
        <w:rPr>
          <w:rFonts w:hAnsi="黑体" w:cs="黑体"/>
          <w:lang w:eastAsia="en-US"/>
        </w:rPr>
      </w:pPr>
      <w:r>
        <w:rPr>
          <w:rFonts w:hint="eastAsia" w:hAnsi="黑体" w:cs="黑体"/>
          <w:lang w:eastAsia="en-US"/>
        </w:rPr>
        <w:t>风险等级判定矩阵图</w:t>
      </w:r>
      <w:bookmarkEnd w:id="113"/>
    </w:p>
    <w:tbl>
      <w:tblPr>
        <w:tblStyle w:val="230"/>
        <w:tblW w:w="4999" w:type="pct"/>
        <w:tblInd w:w="0" w:type="dxa"/>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Layout w:type="autofit"/>
        <w:tblCellMar>
          <w:top w:w="0" w:type="dxa"/>
          <w:left w:w="0" w:type="dxa"/>
          <w:bottom w:w="0" w:type="dxa"/>
          <w:right w:w="0" w:type="dxa"/>
        </w:tblCellMar>
      </w:tblPr>
      <w:tblGrid>
        <w:gridCol w:w="673"/>
        <w:gridCol w:w="999"/>
        <w:gridCol w:w="1532"/>
        <w:gridCol w:w="1532"/>
        <w:gridCol w:w="1532"/>
        <w:gridCol w:w="1532"/>
        <w:gridCol w:w="1573"/>
      </w:tblGrid>
      <w:tr w14:paraId="595A3AAB">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92" w:type="pct"/>
            <w:gridSpan w:val="2"/>
            <w:vMerge w:val="restart"/>
            <w:tcBorders>
              <w:bottom w:val="nil"/>
              <w:right w:val="single" w:color="auto" w:sz="8" w:space="0"/>
            </w:tcBorders>
            <w:vAlign w:val="center"/>
          </w:tcPr>
          <w:p w14:paraId="6E9A68C9">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风险等级</w:t>
            </w:r>
          </w:p>
        </w:tc>
        <w:tc>
          <w:tcPr>
            <w:tcW w:w="4107" w:type="pct"/>
            <w:gridSpan w:val="5"/>
            <w:tcBorders>
              <w:left w:val="single" w:color="auto" w:sz="8" w:space="0"/>
            </w:tcBorders>
            <w:vAlign w:val="center"/>
          </w:tcPr>
          <w:p w14:paraId="3483A45A">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事故后果严重程度（S）</w:t>
            </w:r>
          </w:p>
        </w:tc>
      </w:tr>
      <w:tr w14:paraId="2782993E">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92" w:type="pct"/>
            <w:gridSpan w:val="2"/>
            <w:vMerge w:val="continue"/>
            <w:tcBorders>
              <w:top w:val="nil"/>
              <w:bottom w:val="single" w:color="auto" w:sz="8" w:space="0"/>
              <w:right w:val="single" w:color="auto" w:sz="8" w:space="0"/>
            </w:tcBorders>
            <w:vAlign w:val="center"/>
          </w:tcPr>
          <w:p w14:paraId="0FCB11BD">
            <w:pPr>
              <w:widowControl/>
              <w:wordWrap w:val="0"/>
              <w:topLinePunct/>
              <w:autoSpaceDE w:val="0"/>
              <w:autoSpaceDN w:val="0"/>
              <w:snapToGrid w:val="0"/>
              <w:spacing w:line="240" w:lineRule="auto"/>
              <w:jc w:val="center"/>
              <w:textAlignment w:val="baseline"/>
              <w:rPr>
                <w:rFonts w:ascii="宋体" w:hAnsi="宋体" w:cs="宋体"/>
                <w:b/>
                <w:bCs/>
                <w:snapToGrid w:val="0"/>
                <w:color w:val="000000"/>
                <w:kern w:val="0"/>
                <w:sz w:val="18"/>
                <w:szCs w:val="18"/>
              </w:rPr>
            </w:pPr>
          </w:p>
        </w:tc>
        <w:tc>
          <w:tcPr>
            <w:tcW w:w="817" w:type="pct"/>
            <w:tcBorders>
              <w:left w:val="single" w:color="auto" w:sz="8" w:space="0"/>
              <w:bottom w:val="single" w:color="auto" w:sz="8" w:space="0"/>
            </w:tcBorders>
            <w:vAlign w:val="center"/>
          </w:tcPr>
          <w:p w14:paraId="20AA3683">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1</w:t>
            </w:r>
          </w:p>
        </w:tc>
        <w:tc>
          <w:tcPr>
            <w:tcW w:w="817" w:type="pct"/>
            <w:tcBorders>
              <w:bottom w:val="single" w:color="auto" w:sz="8" w:space="0"/>
            </w:tcBorders>
            <w:vAlign w:val="center"/>
          </w:tcPr>
          <w:p w14:paraId="36E570D5">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rPr>
              <w:t>2</w:t>
            </w:r>
          </w:p>
        </w:tc>
        <w:tc>
          <w:tcPr>
            <w:tcW w:w="817" w:type="pct"/>
            <w:tcBorders>
              <w:bottom w:val="single" w:color="auto" w:sz="8" w:space="0"/>
            </w:tcBorders>
            <w:vAlign w:val="center"/>
          </w:tcPr>
          <w:p w14:paraId="3266F26B">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3</w:t>
            </w:r>
          </w:p>
        </w:tc>
        <w:tc>
          <w:tcPr>
            <w:tcW w:w="817" w:type="pct"/>
            <w:tcBorders>
              <w:bottom w:val="single" w:color="auto" w:sz="8" w:space="0"/>
            </w:tcBorders>
            <w:vAlign w:val="center"/>
          </w:tcPr>
          <w:p w14:paraId="75CA9D1A">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4</w:t>
            </w:r>
          </w:p>
        </w:tc>
        <w:tc>
          <w:tcPr>
            <w:tcW w:w="836" w:type="pct"/>
            <w:tcBorders>
              <w:bottom w:val="single" w:color="auto" w:sz="8" w:space="0"/>
            </w:tcBorders>
            <w:vAlign w:val="center"/>
          </w:tcPr>
          <w:p w14:paraId="4F46786D">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5</w:t>
            </w:r>
          </w:p>
        </w:tc>
      </w:tr>
      <w:tr w14:paraId="3627B2A4">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359" w:type="pct"/>
            <w:vMerge w:val="restart"/>
            <w:tcBorders>
              <w:top w:val="single" w:color="auto" w:sz="8" w:space="0"/>
              <w:bottom w:val="single" w:color="auto" w:sz="8" w:space="0"/>
            </w:tcBorders>
            <w:shd w:val="clear" w:color="auto" w:fill="auto"/>
            <w:textDirection w:val="tbLrV"/>
            <w:vAlign w:val="center"/>
          </w:tcPr>
          <w:p w14:paraId="34135444">
            <w:pPr>
              <w:widowControl/>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事故发生可能性（L）</w:t>
            </w:r>
          </w:p>
        </w:tc>
        <w:tc>
          <w:tcPr>
            <w:tcW w:w="532" w:type="pct"/>
            <w:tcBorders>
              <w:top w:val="single" w:color="auto" w:sz="8" w:space="0"/>
              <w:bottom w:val="single" w:color="auto" w:sz="4" w:space="0"/>
            </w:tcBorders>
            <w:shd w:val="clear" w:color="auto" w:fill="auto"/>
            <w:vAlign w:val="center"/>
          </w:tcPr>
          <w:p w14:paraId="36FEC3BD">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5</w:t>
            </w:r>
          </w:p>
        </w:tc>
        <w:tc>
          <w:tcPr>
            <w:tcW w:w="817" w:type="pct"/>
            <w:tcBorders>
              <w:top w:val="single" w:color="auto" w:sz="8" w:space="0"/>
            </w:tcBorders>
            <w:shd w:val="clear" w:color="auto" w:fill="00B0F0"/>
            <w:vAlign w:val="center"/>
          </w:tcPr>
          <w:p w14:paraId="44E779FE">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轻度危险</w:t>
            </w:r>
          </w:p>
        </w:tc>
        <w:tc>
          <w:tcPr>
            <w:tcW w:w="817" w:type="pct"/>
            <w:tcBorders>
              <w:top w:val="single" w:color="auto" w:sz="8" w:space="0"/>
            </w:tcBorders>
            <w:shd w:val="clear" w:color="auto" w:fill="FFFF00"/>
            <w:vAlign w:val="center"/>
          </w:tcPr>
          <w:p w14:paraId="4B0D2702">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显著危险</w:t>
            </w:r>
          </w:p>
        </w:tc>
        <w:tc>
          <w:tcPr>
            <w:tcW w:w="817" w:type="pct"/>
            <w:tcBorders>
              <w:top w:val="single" w:color="auto" w:sz="8" w:space="0"/>
            </w:tcBorders>
            <w:shd w:val="clear" w:color="auto" w:fill="ED7D31"/>
            <w:vAlign w:val="center"/>
          </w:tcPr>
          <w:p w14:paraId="7D05BD93">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高度危险</w:t>
            </w:r>
          </w:p>
        </w:tc>
        <w:tc>
          <w:tcPr>
            <w:tcW w:w="817" w:type="pct"/>
            <w:tcBorders>
              <w:top w:val="single" w:color="auto" w:sz="8" w:space="0"/>
            </w:tcBorders>
            <w:shd w:val="clear" w:color="auto" w:fill="FF0000"/>
            <w:vAlign w:val="center"/>
          </w:tcPr>
          <w:p w14:paraId="3AEF5C69">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极其危险</w:t>
            </w:r>
          </w:p>
        </w:tc>
        <w:tc>
          <w:tcPr>
            <w:tcW w:w="836" w:type="pct"/>
            <w:tcBorders>
              <w:top w:val="single" w:color="auto" w:sz="8" w:space="0"/>
            </w:tcBorders>
            <w:shd w:val="clear" w:color="auto" w:fill="FF0000"/>
            <w:vAlign w:val="center"/>
          </w:tcPr>
          <w:p w14:paraId="32D49C81">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极其危险</w:t>
            </w:r>
          </w:p>
        </w:tc>
      </w:tr>
      <w:tr w14:paraId="6DD7A676">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359" w:type="pct"/>
            <w:vMerge w:val="continue"/>
            <w:tcBorders>
              <w:top w:val="single" w:color="auto" w:sz="8" w:space="0"/>
              <w:bottom w:val="nil"/>
            </w:tcBorders>
            <w:shd w:val="clear" w:color="auto" w:fill="auto"/>
            <w:vAlign w:val="center"/>
          </w:tcPr>
          <w:p w14:paraId="44262602">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p>
        </w:tc>
        <w:tc>
          <w:tcPr>
            <w:tcW w:w="532" w:type="pct"/>
            <w:tcBorders>
              <w:top w:val="single" w:color="auto" w:sz="4" w:space="0"/>
            </w:tcBorders>
            <w:shd w:val="clear" w:color="auto" w:fill="auto"/>
            <w:vAlign w:val="center"/>
          </w:tcPr>
          <w:p w14:paraId="1CD5687F">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4</w:t>
            </w:r>
          </w:p>
        </w:tc>
        <w:tc>
          <w:tcPr>
            <w:tcW w:w="817" w:type="pct"/>
            <w:shd w:val="clear" w:color="auto" w:fill="00B0F0"/>
            <w:vAlign w:val="center"/>
          </w:tcPr>
          <w:p w14:paraId="46304EE0">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rPr>
              <w:t>轻度危险</w:t>
            </w:r>
          </w:p>
        </w:tc>
        <w:tc>
          <w:tcPr>
            <w:tcW w:w="817" w:type="pct"/>
            <w:shd w:val="clear" w:color="auto" w:fill="00B0F0"/>
            <w:vAlign w:val="center"/>
          </w:tcPr>
          <w:p w14:paraId="3C7019FF">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rPr>
              <w:t>轻度危险</w:t>
            </w:r>
          </w:p>
        </w:tc>
        <w:tc>
          <w:tcPr>
            <w:tcW w:w="817" w:type="pct"/>
            <w:shd w:val="clear" w:color="auto" w:fill="FFFF00"/>
            <w:vAlign w:val="center"/>
          </w:tcPr>
          <w:p w14:paraId="12252EBF">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rPr>
              <w:t>显著危险</w:t>
            </w:r>
          </w:p>
        </w:tc>
        <w:tc>
          <w:tcPr>
            <w:tcW w:w="817" w:type="pct"/>
            <w:shd w:val="clear" w:color="auto" w:fill="ED7D31"/>
            <w:vAlign w:val="center"/>
          </w:tcPr>
          <w:p w14:paraId="2E63F191">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高度危险</w:t>
            </w:r>
          </w:p>
        </w:tc>
        <w:tc>
          <w:tcPr>
            <w:tcW w:w="836" w:type="pct"/>
            <w:shd w:val="clear" w:color="auto" w:fill="FF0000"/>
            <w:vAlign w:val="center"/>
          </w:tcPr>
          <w:p w14:paraId="4B485FE6">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极其危险</w:t>
            </w:r>
          </w:p>
        </w:tc>
      </w:tr>
      <w:tr w14:paraId="72F938BA">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359" w:type="pct"/>
            <w:vMerge w:val="continue"/>
            <w:tcBorders>
              <w:top w:val="nil"/>
              <w:bottom w:val="nil"/>
            </w:tcBorders>
            <w:shd w:val="clear" w:color="auto" w:fill="auto"/>
            <w:vAlign w:val="center"/>
          </w:tcPr>
          <w:p w14:paraId="3C6A71CF">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p>
        </w:tc>
        <w:tc>
          <w:tcPr>
            <w:tcW w:w="532" w:type="pct"/>
            <w:shd w:val="clear" w:color="auto" w:fill="auto"/>
            <w:vAlign w:val="center"/>
          </w:tcPr>
          <w:p w14:paraId="3509CFB3">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3</w:t>
            </w:r>
          </w:p>
        </w:tc>
        <w:tc>
          <w:tcPr>
            <w:tcW w:w="817" w:type="pct"/>
            <w:shd w:val="clear" w:color="auto" w:fill="00B0F0"/>
            <w:vAlign w:val="center"/>
          </w:tcPr>
          <w:p w14:paraId="5A9BCC32">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rPr>
              <w:t>轻度危险</w:t>
            </w:r>
          </w:p>
        </w:tc>
        <w:tc>
          <w:tcPr>
            <w:tcW w:w="817" w:type="pct"/>
            <w:shd w:val="clear" w:color="auto" w:fill="00B0F0"/>
            <w:vAlign w:val="center"/>
          </w:tcPr>
          <w:p w14:paraId="357DCE67">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rPr>
              <w:t>轻度危险</w:t>
            </w:r>
          </w:p>
        </w:tc>
        <w:tc>
          <w:tcPr>
            <w:tcW w:w="817" w:type="pct"/>
            <w:shd w:val="clear" w:color="auto" w:fill="FFFF00"/>
            <w:vAlign w:val="center"/>
          </w:tcPr>
          <w:p w14:paraId="0C7E91C0">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rPr>
              <w:t>显著危险</w:t>
            </w:r>
          </w:p>
        </w:tc>
        <w:tc>
          <w:tcPr>
            <w:tcW w:w="817" w:type="pct"/>
            <w:shd w:val="clear" w:color="auto" w:fill="FFFF00"/>
            <w:vAlign w:val="center"/>
          </w:tcPr>
          <w:p w14:paraId="67F61304">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显著危险</w:t>
            </w:r>
          </w:p>
        </w:tc>
        <w:tc>
          <w:tcPr>
            <w:tcW w:w="836" w:type="pct"/>
            <w:shd w:val="clear" w:color="auto" w:fill="ED7D31"/>
            <w:vAlign w:val="center"/>
          </w:tcPr>
          <w:p w14:paraId="16560900">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高度危险</w:t>
            </w:r>
          </w:p>
        </w:tc>
      </w:tr>
      <w:tr w14:paraId="2DBAB947">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359" w:type="pct"/>
            <w:vMerge w:val="continue"/>
            <w:tcBorders>
              <w:top w:val="nil"/>
              <w:bottom w:val="nil"/>
            </w:tcBorders>
            <w:shd w:val="clear" w:color="auto" w:fill="auto"/>
            <w:vAlign w:val="center"/>
          </w:tcPr>
          <w:p w14:paraId="0AF8EDA3">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p>
        </w:tc>
        <w:tc>
          <w:tcPr>
            <w:tcW w:w="532" w:type="pct"/>
            <w:shd w:val="clear" w:color="auto" w:fill="auto"/>
            <w:vAlign w:val="center"/>
          </w:tcPr>
          <w:p w14:paraId="44C442E7">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2</w:t>
            </w:r>
          </w:p>
        </w:tc>
        <w:tc>
          <w:tcPr>
            <w:tcW w:w="817" w:type="pct"/>
            <w:shd w:val="clear" w:color="auto" w:fill="00B0F0"/>
            <w:vAlign w:val="center"/>
          </w:tcPr>
          <w:p w14:paraId="5A691E26">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rPr>
              <w:t>稍有危险</w:t>
            </w:r>
          </w:p>
        </w:tc>
        <w:tc>
          <w:tcPr>
            <w:tcW w:w="817" w:type="pct"/>
            <w:shd w:val="clear" w:color="auto" w:fill="00B0F0"/>
            <w:vAlign w:val="center"/>
          </w:tcPr>
          <w:p w14:paraId="53181680">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rPr>
              <w:t>轻度危险</w:t>
            </w:r>
          </w:p>
        </w:tc>
        <w:tc>
          <w:tcPr>
            <w:tcW w:w="817" w:type="pct"/>
            <w:shd w:val="clear" w:color="auto" w:fill="00B0F0"/>
            <w:vAlign w:val="center"/>
          </w:tcPr>
          <w:p w14:paraId="4B5A9ED5">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rPr>
              <w:t>轻度危险</w:t>
            </w:r>
          </w:p>
        </w:tc>
        <w:tc>
          <w:tcPr>
            <w:tcW w:w="817" w:type="pct"/>
            <w:shd w:val="clear" w:color="auto" w:fill="00B0F0"/>
            <w:vAlign w:val="center"/>
          </w:tcPr>
          <w:p w14:paraId="2D5C1027">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rPr>
              <w:t>轻度危险</w:t>
            </w:r>
          </w:p>
        </w:tc>
        <w:tc>
          <w:tcPr>
            <w:tcW w:w="836" w:type="pct"/>
            <w:shd w:val="clear" w:color="auto" w:fill="FFFF00"/>
            <w:vAlign w:val="center"/>
          </w:tcPr>
          <w:p w14:paraId="477BC5EE">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显著危险</w:t>
            </w:r>
          </w:p>
        </w:tc>
      </w:tr>
      <w:tr w14:paraId="68656145">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359" w:type="pct"/>
            <w:vMerge w:val="continue"/>
            <w:tcBorders>
              <w:top w:val="nil"/>
            </w:tcBorders>
            <w:shd w:val="clear" w:color="auto" w:fill="auto"/>
            <w:vAlign w:val="center"/>
          </w:tcPr>
          <w:p w14:paraId="19938105">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p>
        </w:tc>
        <w:tc>
          <w:tcPr>
            <w:tcW w:w="532" w:type="pct"/>
            <w:shd w:val="clear" w:color="auto" w:fill="auto"/>
            <w:vAlign w:val="center"/>
          </w:tcPr>
          <w:p w14:paraId="671F80E3">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1</w:t>
            </w:r>
          </w:p>
        </w:tc>
        <w:tc>
          <w:tcPr>
            <w:tcW w:w="817" w:type="pct"/>
            <w:shd w:val="clear" w:color="auto" w:fill="00B0F0"/>
            <w:vAlign w:val="center"/>
          </w:tcPr>
          <w:p w14:paraId="2B1BEFB2">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rPr>
              <w:t>稍有危险</w:t>
            </w:r>
          </w:p>
        </w:tc>
        <w:tc>
          <w:tcPr>
            <w:tcW w:w="817" w:type="pct"/>
            <w:shd w:val="clear" w:color="auto" w:fill="00B0F0"/>
            <w:vAlign w:val="center"/>
          </w:tcPr>
          <w:p w14:paraId="0EFAAE8C">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rPr>
              <w:t>稍有危险</w:t>
            </w:r>
          </w:p>
        </w:tc>
        <w:tc>
          <w:tcPr>
            <w:tcW w:w="817" w:type="pct"/>
            <w:shd w:val="clear" w:color="auto" w:fill="00B0F0"/>
            <w:vAlign w:val="center"/>
          </w:tcPr>
          <w:p w14:paraId="74331538">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rPr>
              <w:t>轻度危险</w:t>
            </w:r>
          </w:p>
        </w:tc>
        <w:tc>
          <w:tcPr>
            <w:tcW w:w="817" w:type="pct"/>
            <w:shd w:val="clear" w:color="auto" w:fill="00B0F0"/>
            <w:vAlign w:val="center"/>
          </w:tcPr>
          <w:p w14:paraId="562D264D">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rPr>
              <w:t>轻度危险</w:t>
            </w:r>
          </w:p>
        </w:tc>
        <w:tc>
          <w:tcPr>
            <w:tcW w:w="836" w:type="pct"/>
            <w:shd w:val="clear" w:color="auto" w:fill="00B0F0"/>
            <w:vAlign w:val="center"/>
          </w:tcPr>
          <w:p w14:paraId="49B578AC">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轻度危险</w:t>
            </w:r>
          </w:p>
        </w:tc>
      </w:tr>
    </w:tbl>
    <w:p w14:paraId="5298706C">
      <w:pPr>
        <w:pStyle w:val="51"/>
        <w:ind w:firstLine="420"/>
      </w:pPr>
    </w:p>
    <w:p w14:paraId="26EB0EC3">
      <w:pPr>
        <w:pStyle w:val="51"/>
        <w:ind w:firstLine="420"/>
      </w:pPr>
    </w:p>
    <w:p w14:paraId="383E4E8B">
      <w:pPr>
        <w:pStyle w:val="51"/>
        <w:ind w:firstLine="420"/>
      </w:pPr>
    </w:p>
    <w:p w14:paraId="0C602129">
      <w:pPr>
        <w:pStyle w:val="51"/>
        <w:ind w:firstLine="420"/>
        <w:sectPr>
          <w:headerReference r:id="rId25" w:type="default"/>
          <w:footerReference r:id="rId27" w:type="default"/>
          <w:headerReference r:id="rId26" w:type="even"/>
          <w:footerReference r:id="rId28" w:type="even"/>
          <w:pgSz w:w="11906" w:h="16838"/>
          <w:pgMar w:top="1928" w:right="1134" w:bottom="1134" w:left="1134" w:header="1418" w:footer="1134" w:gutter="283"/>
          <w:cols w:space="720" w:num="1"/>
          <w:formProt w:val="0"/>
          <w:docGrid w:type="lines" w:linePitch="316" w:charSpace="0"/>
        </w:sectPr>
      </w:pPr>
    </w:p>
    <w:p w14:paraId="25FCC65D">
      <w:pPr>
        <w:pStyle w:val="169"/>
      </w:pPr>
    </w:p>
    <w:p w14:paraId="5F079F8B">
      <w:pPr>
        <w:pStyle w:val="127"/>
      </w:pPr>
    </w:p>
    <w:p w14:paraId="4542E2BF">
      <w:pPr>
        <w:pStyle w:val="144"/>
        <w:spacing w:before="79" w:after="158"/>
      </w:pPr>
      <w:bookmarkStart w:id="114" w:name="_Toc7481"/>
      <w:bookmarkStart w:id="115" w:name="_Toc8246"/>
      <w:r>
        <w:rPr>
          <w:rFonts w:hint="eastAsia"/>
        </w:rPr>
        <w:br w:type="textWrapping"/>
      </w:r>
      <w:r>
        <w:rPr>
          <w:rFonts w:hint="eastAsia"/>
        </w:rPr>
        <w:t>（资料性）</w:t>
      </w:r>
      <w:r>
        <w:rPr>
          <w:rFonts w:hint="eastAsia"/>
        </w:rPr>
        <w:br w:type="textWrapping"/>
      </w:r>
      <w:r>
        <w:rPr>
          <w:rFonts w:hint="eastAsia"/>
        </w:rPr>
        <w:t>作业条件危险性分析法（LEC）</w:t>
      </w:r>
      <w:bookmarkEnd w:id="114"/>
      <w:bookmarkEnd w:id="115"/>
    </w:p>
    <w:p w14:paraId="07342184">
      <w:pPr>
        <w:pStyle w:val="51"/>
        <w:ind w:firstLine="420"/>
      </w:pPr>
      <w:bookmarkStart w:id="116" w:name="_Toc3784_WPSOffice_Level3"/>
      <w:r>
        <w:rPr>
          <w:rFonts w:hint="eastAsia"/>
        </w:rPr>
        <w:t>作业条件危险性分析评价法（简称LEC）用与系统风险有关的三种因素之积来评价操作人员伤亡风险大小，这三种因素是：L（likelihood，事故发生的可能性）、E（exposure，人员暴露于危险环境中的频繁程度）和C（consequence，一旦发生事故可能造成的后果）。给三种因素的不同等级分别确定不同的分值，再以三个分值的乘积D（danger，危险性）来评价作业条件危险性的大小，如式（D.1）所示：</w:t>
      </w:r>
    </w:p>
    <w:p w14:paraId="05BB7150">
      <w:pPr>
        <w:pStyle w:val="171"/>
      </w:pPr>
      <w:r>
        <w:rPr>
          <w:rFonts w:hint="eastAsia"/>
        </w:rPr>
        <w:tab/>
      </w:r>
      <w:r>
        <w:rPr>
          <w:rFonts w:hint="eastAsia"/>
          <w:position w:val="-6"/>
        </w:rPr>
        <w:object>
          <v:shape id="_x0000_i1026" o:spt="75" type="#_x0000_t75" style="height:13.5pt;width:67.5pt;" o:ole="t" filled="f" o:preferrelative="t" stroked="f" coordsize="21600,21600">
            <v:path/>
            <v:fill on="f" focussize="0,0"/>
            <v:stroke on="f" joinstyle="miter"/>
            <v:imagedata r:id="rId34" o:title=""/>
            <o:lock v:ext="edit" aspectratio="t"/>
            <w10:wrap type="none"/>
            <w10:anchorlock/>
          </v:shape>
          <o:OLEObject Type="Embed" ProgID="Equation.3" ShapeID="_x0000_i1026" DrawAspect="Content" ObjectID="_1468075726" r:id="rId33">
            <o:LockedField>false</o:LockedField>
          </o:OLEObject>
        </w:object>
      </w:r>
      <w:r>
        <w:rPr>
          <w:rFonts w:hint="eastAsia" w:ascii="等线" w:hAnsi="等线" w:eastAsia="等线" w:cs="等线"/>
        </w:rPr>
        <w:tab/>
      </w:r>
      <w:r>
        <w:rPr>
          <w:rFonts w:hint="eastAsia"/>
        </w:rPr>
        <w:t>(D.</w:t>
      </w:r>
      <w:r>
        <w:rPr>
          <w:rFonts w:hint="eastAsia"/>
        </w:rPr>
        <w:fldChar w:fldCharType="begin"/>
      </w:r>
      <w:r>
        <w:rPr>
          <w:rFonts w:hint="eastAsia"/>
        </w:rPr>
        <w:instrText xml:space="preserve"> seq fulu_equation_133736003712782267 </w:instrText>
      </w:r>
      <w:r>
        <w:rPr>
          <w:rFonts w:hint="eastAsia"/>
        </w:rPr>
        <w:fldChar w:fldCharType="separate"/>
      </w:r>
      <w:r>
        <w:rPr>
          <w:rFonts w:hint="eastAsia"/>
        </w:rPr>
        <w:t>1</w:t>
      </w:r>
      <w:r>
        <w:rPr>
          <w:rFonts w:hint="eastAsia"/>
        </w:rPr>
        <w:fldChar w:fldCharType="end"/>
      </w:r>
      <w:r>
        <w:rPr>
          <w:rFonts w:hint="eastAsia"/>
        </w:rPr>
        <w:t>)</w:t>
      </w:r>
    </w:p>
    <w:p w14:paraId="47D99CAA">
      <w:pPr>
        <w:pStyle w:val="162"/>
        <w:ind w:firstLine="420"/>
      </w:pPr>
      <w:r>
        <w:rPr>
          <w:rFonts w:hint="eastAsia"/>
        </w:rPr>
        <w:t>式中：</w:t>
      </w:r>
    </w:p>
    <w:p w14:paraId="467FC92C">
      <w:pPr>
        <w:pStyle w:val="51"/>
        <w:ind w:firstLine="420"/>
      </w:pPr>
      <w:r>
        <w:rPr>
          <w:rFonts w:ascii="Times New Roman"/>
          <w:i/>
          <w:iCs/>
        </w:rPr>
        <w:t>L</w:t>
      </w:r>
      <w:r>
        <w:rPr>
          <w:rFonts w:hint="eastAsia"/>
        </w:rPr>
        <w:t>——事故发生的可能性；</w:t>
      </w:r>
    </w:p>
    <w:p w14:paraId="363EB3D4">
      <w:pPr>
        <w:pStyle w:val="51"/>
        <w:ind w:firstLine="420"/>
      </w:pPr>
      <w:r>
        <w:rPr>
          <w:rFonts w:ascii="Times New Roman"/>
          <w:i/>
          <w:iCs/>
        </w:rPr>
        <w:t>E</w:t>
      </w:r>
      <w:r>
        <w:rPr>
          <w:rFonts w:hint="eastAsia"/>
        </w:rPr>
        <w:t>——人员暴露于危险环境中的频繁程度；</w:t>
      </w:r>
    </w:p>
    <w:p w14:paraId="7B744CC7">
      <w:pPr>
        <w:pStyle w:val="51"/>
        <w:ind w:firstLine="420"/>
      </w:pPr>
      <w:r>
        <w:rPr>
          <w:rFonts w:ascii="Times New Roman"/>
          <w:i/>
          <w:iCs/>
        </w:rPr>
        <w:t>C</w:t>
      </w:r>
      <w:r>
        <w:rPr>
          <w:rFonts w:hint="eastAsia"/>
        </w:rPr>
        <w:t>——发生事故可能造成的后果；</w:t>
      </w:r>
    </w:p>
    <w:p w14:paraId="7FF70B7A">
      <w:pPr>
        <w:pStyle w:val="51"/>
        <w:ind w:firstLine="420"/>
      </w:pPr>
      <w:r>
        <w:rPr>
          <w:rFonts w:ascii="Times New Roman"/>
          <w:i/>
          <w:iCs/>
        </w:rPr>
        <w:t>D</w:t>
      </w:r>
      <w:r>
        <w:rPr>
          <w:rFonts w:hint="eastAsia"/>
        </w:rPr>
        <w:t>——风险值。</w:t>
      </w:r>
    </w:p>
    <w:p w14:paraId="111DF83E">
      <w:pPr>
        <w:pStyle w:val="147"/>
        <w:spacing w:before="158" w:after="158"/>
      </w:pPr>
      <w:r>
        <w:rPr>
          <w:rFonts w:hint="eastAsia"/>
        </w:rPr>
        <w:t>事故发生的可能性分值表</w:t>
      </w:r>
      <w:bookmarkEnd w:id="116"/>
    </w:p>
    <w:tbl>
      <w:tblPr>
        <w:tblStyle w:val="27"/>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700"/>
        <w:gridCol w:w="6673"/>
      </w:tblGrid>
      <w:tr w14:paraId="595B25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40" w:type="pct"/>
            <w:tcBorders>
              <w:bottom w:val="single" w:color="auto" w:sz="8" w:space="0"/>
            </w:tcBorders>
            <w:vAlign w:val="center"/>
          </w:tcPr>
          <w:p w14:paraId="0FBA4FD2">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lang w:eastAsia="en-US"/>
              </w:rPr>
              <w:t>分数值</w:t>
            </w:r>
          </w:p>
        </w:tc>
        <w:tc>
          <w:tcPr>
            <w:tcW w:w="3559" w:type="pct"/>
            <w:tcBorders>
              <w:bottom w:val="single" w:color="auto" w:sz="8" w:space="0"/>
            </w:tcBorders>
            <w:vAlign w:val="center"/>
          </w:tcPr>
          <w:p w14:paraId="27FF497A">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lang w:eastAsia="en-US"/>
              </w:rPr>
              <w:t>事故发生可能性</w:t>
            </w:r>
          </w:p>
        </w:tc>
      </w:tr>
      <w:tr w14:paraId="242404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40" w:type="pct"/>
            <w:tcBorders>
              <w:top w:val="single" w:color="auto" w:sz="8" w:space="0"/>
            </w:tcBorders>
            <w:vAlign w:val="center"/>
          </w:tcPr>
          <w:p w14:paraId="2708DAC6">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10</w:t>
            </w:r>
          </w:p>
        </w:tc>
        <w:tc>
          <w:tcPr>
            <w:tcW w:w="3559" w:type="pct"/>
            <w:tcBorders>
              <w:top w:val="single" w:color="auto" w:sz="8" w:space="0"/>
            </w:tcBorders>
            <w:vAlign w:val="center"/>
          </w:tcPr>
          <w:p w14:paraId="0D025AEE">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lang w:eastAsia="en-US"/>
              </w:rPr>
              <w:t>完全会被预料到</w:t>
            </w:r>
          </w:p>
        </w:tc>
      </w:tr>
      <w:tr w14:paraId="35027B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40" w:type="pct"/>
            <w:vAlign w:val="center"/>
          </w:tcPr>
          <w:p w14:paraId="5613F13B">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6</w:t>
            </w:r>
          </w:p>
        </w:tc>
        <w:tc>
          <w:tcPr>
            <w:tcW w:w="3559" w:type="pct"/>
            <w:vAlign w:val="center"/>
          </w:tcPr>
          <w:p w14:paraId="088580C8">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lang w:eastAsia="en-US"/>
              </w:rPr>
              <w:t>相当可能</w:t>
            </w:r>
          </w:p>
        </w:tc>
      </w:tr>
      <w:tr w14:paraId="3824FC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40" w:type="pct"/>
            <w:vAlign w:val="center"/>
          </w:tcPr>
          <w:p w14:paraId="2D47F365">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3</w:t>
            </w:r>
          </w:p>
        </w:tc>
        <w:tc>
          <w:tcPr>
            <w:tcW w:w="3559" w:type="pct"/>
            <w:vAlign w:val="center"/>
          </w:tcPr>
          <w:p w14:paraId="632BF2FB">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lang w:eastAsia="en-US"/>
              </w:rPr>
              <w:t>可能</w:t>
            </w:r>
            <w:r>
              <w:rPr>
                <w:rFonts w:hint="eastAsia" w:ascii="宋体" w:hAnsi="宋体" w:cs="宋体"/>
                <w:snapToGrid w:val="0"/>
                <w:color w:val="000000"/>
                <w:kern w:val="0"/>
                <w:sz w:val="18"/>
                <w:szCs w:val="18"/>
              </w:rPr>
              <w:t>，</w:t>
            </w:r>
            <w:r>
              <w:rPr>
                <w:rFonts w:hint="eastAsia" w:ascii="宋体" w:hAnsi="宋体" w:cs="宋体"/>
                <w:snapToGrid w:val="0"/>
                <w:color w:val="000000"/>
                <w:kern w:val="0"/>
                <w:sz w:val="18"/>
                <w:szCs w:val="18"/>
                <w:lang w:eastAsia="en-US"/>
              </w:rPr>
              <w:t>但不经常</w:t>
            </w:r>
          </w:p>
        </w:tc>
      </w:tr>
      <w:tr w14:paraId="6FB55F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40" w:type="pct"/>
            <w:vAlign w:val="center"/>
          </w:tcPr>
          <w:p w14:paraId="2FC3FB3A">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1</w:t>
            </w:r>
          </w:p>
        </w:tc>
        <w:tc>
          <w:tcPr>
            <w:tcW w:w="3559" w:type="pct"/>
            <w:vAlign w:val="center"/>
          </w:tcPr>
          <w:p w14:paraId="3F458DFC">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lang w:eastAsia="en-US"/>
              </w:rPr>
              <w:t>完全意外</w:t>
            </w:r>
            <w:r>
              <w:rPr>
                <w:rFonts w:hint="eastAsia" w:ascii="宋体" w:hAnsi="宋体" w:cs="宋体"/>
                <w:snapToGrid w:val="0"/>
                <w:color w:val="000000"/>
                <w:kern w:val="0"/>
                <w:sz w:val="18"/>
                <w:szCs w:val="18"/>
              </w:rPr>
              <w:t>，</w:t>
            </w:r>
            <w:r>
              <w:rPr>
                <w:rFonts w:hint="eastAsia" w:ascii="宋体" w:hAnsi="宋体" w:cs="宋体"/>
                <w:snapToGrid w:val="0"/>
                <w:color w:val="000000"/>
                <w:kern w:val="0"/>
                <w:sz w:val="18"/>
                <w:szCs w:val="18"/>
                <w:lang w:eastAsia="en-US"/>
              </w:rPr>
              <w:t>很少可能</w:t>
            </w:r>
          </w:p>
        </w:tc>
      </w:tr>
      <w:tr w14:paraId="683432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40" w:type="pct"/>
            <w:vAlign w:val="center"/>
          </w:tcPr>
          <w:p w14:paraId="2FDD012F">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bookmarkStart w:id="117" w:name="_Toc17490_WPSOffice_Level3"/>
            <w:r>
              <w:rPr>
                <w:rFonts w:hint="eastAsia" w:ascii="宋体" w:hAnsi="宋体" w:cs="宋体"/>
                <w:snapToGrid w:val="0"/>
                <w:color w:val="000000"/>
                <w:kern w:val="0"/>
                <w:sz w:val="18"/>
                <w:szCs w:val="18"/>
              </w:rPr>
              <w:t>0.5</w:t>
            </w:r>
          </w:p>
        </w:tc>
        <w:tc>
          <w:tcPr>
            <w:tcW w:w="3559" w:type="pct"/>
            <w:vAlign w:val="center"/>
          </w:tcPr>
          <w:p w14:paraId="733D45C9">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可以设想</w:t>
            </w:r>
            <w:r>
              <w:rPr>
                <w:rFonts w:hint="eastAsia" w:ascii="宋体" w:hAnsi="宋体" w:cs="宋体"/>
                <w:snapToGrid w:val="0"/>
                <w:color w:val="000000"/>
                <w:kern w:val="0"/>
                <w:sz w:val="18"/>
                <w:szCs w:val="18"/>
              </w:rPr>
              <w:t>，</w:t>
            </w:r>
            <w:r>
              <w:rPr>
                <w:rFonts w:hint="eastAsia" w:ascii="宋体" w:hAnsi="宋体" w:cs="宋体"/>
                <w:snapToGrid w:val="0"/>
                <w:color w:val="000000"/>
                <w:kern w:val="0"/>
                <w:sz w:val="18"/>
                <w:szCs w:val="18"/>
                <w:lang w:eastAsia="en-US"/>
              </w:rPr>
              <w:t>很不可能</w:t>
            </w:r>
          </w:p>
        </w:tc>
      </w:tr>
      <w:tr w14:paraId="17046C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40" w:type="pct"/>
            <w:vAlign w:val="center"/>
          </w:tcPr>
          <w:p w14:paraId="6F434341">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0.2</w:t>
            </w:r>
          </w:p>
        </w:tc>
        <w:tc>
          <w:tcPr>
            <w:tcW w:w="3559" w:type="pct"/>
            <w:vAlign w:val="center"/>
          </w:tcPr>
          <w:p w14:paraId="409E3528">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极不可能</w:t>
            </w:r>
          </w:p>
        </w:tc>
      </w:tr>
      <w:tr w14:paraId="778689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440" w:type="pct"/>
            <w:vAlign w:val="center"/>
          </w:tcPr>
          <w:p w14:paraId="4BAFD3B5">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0.1</w:t>
            </w:r>
          </w:p>
        </w:tc>
        <w:tc>
          <w:tcPr>
            <w:tcW w:w="3559" w:type="pct"/>
            <w:vAlign w:val="center"/>
          </w:tcPr>
          <w:p w14:paraId="78D69A20">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实际上不可能</w:t>
            </w:r>
          </w:p>
        </w:tc>
      </w:tr>
    </w:tbl>
    <w:p w14:paraId="451394B4">
      <w:pPr>
        <w:pStyle w:val="147"/>
        <w:spacing w:before="158" w:after="158"/>
        <w:rPr>
          <w:rFonts w:hAnsi="黑体" w:cs="黑体"/>
        </w:rPr>
      </w:pPr>
      <w:r>
        <w:rPr>
          <w:rFonts w:hint="eastAsia" w:hAnsi="黑体" w:cs="黑体"/>
        </w:rPr>
        <w:t>人员暴露于危险环境的频繁程度分值表</w:t>
      </w:r>
      <w:bookmarkEnd w:id="117"/>
    </w:p>
    <w:tbl>
      <w:tblPr>
        <w:tblStyle w:val="27"/>
        <w:tblW w:w="4999" w:type="pct"/>
        <w:tblInd w:w="0" w:type="dxa"/>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Layout w:type="autofit"/>
        <w:tblCellMar>
          <w:top w:w="0" w:type="dxa"/>
          <w:left w:w="0" w:type="dxa"/>
          <w:bottom w:w="0" w:type="dxa"/>
          <w:right w:w="0" w:type="dxa"/>
        </w:tblCellMar>
      </w:tblPr>
      <w:tblGrid>
        <w:gridCol w:w="2059"/>
        <w:gridCol w:w="7314"/>
      </w:tblGrid>
      <w:tr w14:paraId="735A8922">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8" w:type="pct"/>
            <w:tcBorders>
              <w:bottom w:val="single" w:color="000000" w:sz="8" w:space="0"/>
              <w:right w:val="single" w:color="000000" w:sz="2" w:space="0"/>
            </w:tcBorders>
            <w:vAlign w:val="center"/>
          </w:tcPr>
          <w:p w14:paraId="4F9AFBCE">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bookmarkStart w:id="118" w:name="_Toc6804_WPSOffice_Level3"/>
            <w:r>
              <w:rPr>
                <w:rFonts w:hint="eastAsia" w:ascii="宋体" w:hAnsi="宋体" w:cs="宋体"/>
                <w:snapToGrid w:val="0"/>
                <w:color w:val="000000"/>
                <w:kern w:val="0"/>
                <w:sz w:val="18"/>
                <w:szCs w:val="18"/>
                <w:lang w:eastAsia="en-US"/>
              </w:rPr>
              <w:t>分数值</w:t>
            </w:r>
          </w:p>
        </w:tc>
        <w:tc>
          <w:tcPr>
            <w:tcW w:w="3901" w:type="pct"/>
            <w:tcBorders>
              <w:left w:val="single" w:color="000000" w:sz="2" w:space="0"/>
              <w:bottom w:val="single" w:color="000000" w:sz="8" w:space="0"/>
            </w:tcBorders>
            <w:vAlign w:val="center"/>
          </w:tcPr>
          <w:p w14:paraId="631E89E4">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暴露于危险环境的频繁程度</w:t>
            </w:r>
          </w:p>
        </w:tc>
      </w:tr>
      <w:tr w14:paraId="3978199C">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8" w:type="pct"/>
            <w:tcBorders>
              <w:top w:val="single" w:color="000000" w:sz="8" w:space="0"/>
              <w:bottom w:val="single" w:color="000000" w:sz="2" w:space="0"/>
              <w:right w:val="single" w:color="000000" w:sz="2" w:space="0"/>
            </w:tcBorders>
            <w:vAlign w:val="center"/>
          </w:tcPr>
          <w:p w14:paraId="413666BA">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10</w:t>
            </w:r>
          </w:p>
        </w:tc>
        <w:tc>
          <w:tcPr>
            <w:tcW w:w="3901" w:type="pct"/>
            <w:tcBorders>
              <w:top w:val="single" w:color="000000" w:sz="8" w:space="0"/>
              <w:left w:val="single" w:color="000000" w:sz="2" w:space="0"/>
              <w:bottom w:val="single" w:color="000000" w:sz="2" w:space="0"/>
            </w:tcBorders>
            <w:vAlign w:val="center"/>
          </w:tcPr>
          <w:p w14:paraId="436B658F">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连续暴露</w:t>
            </w:r>
          </w:p>
        </w:tc>
      </w:tr>
      <w:tr w14:paraId="116122E6">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8" w:type="pct"/>
            <w:tcBorders>
              <w:top w:val="single" w:color="000000" w:sz="2" w:space="0"/>
              <w:bottom w:val="single" w:color="000000" w:sz="2" w:space="0"/>
              <w:right w:val="single" w:color="000000" w:sz="2" w:space="0"/>
            </w:tcBorders>
            <w:vAlign w:val="center"/>
          </w:tcPr>
          <w:p w14:paraId="0A8CC0EE">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6</w:t>
            </w:r>
          </w:p>
        </w:tc>
        <w:tc>
          <w:tcPr>
            <w:tcW w:w="3901" w:type="pct"/>
            <w:tcBorders>
              <w:top w:val="single" w:color="000000" w:sz="2" w:space="0"/>
              <w:left w:val="single" w:color="000000" w:sz="2" w:space="0"/>
              <w:bottom w:val="single" w:color="000000" w:sz="2" w:space="0"/>
            </w:tcBorders>
            <w:vAlign w:val="center"/>
          </w:tcPr>
          <w:p w14:paraId="58A3C4F2">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每日工作时间内暴露</w:t>
            </w:r>
          </w:p>
        </w:tc>
      </w:tr>
      <w:tr w14:paraId="1E034C31">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8" w:type="pct"/>
            <w:tcBorders>
              <w:top w:val="single" w:color="000000" w:sz="2" w:space="0"/>
              <w:bottom w:val="single" w:color="000000" w:sz="2" w:space="0"/>
              <w:right w:val="single" w:color="000000" w:sz="2" w:space="0"/>
            </w:tcBorders>
            <w:vAlign w:val="center"/>
          </w:tcPr>
          <w:p w14:paraId="665B9F0D">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3</w:t>
            </w:r>
          </w:p>
        </w:tc>
        <w:tc>
          <w:tcPr>
            <w:tcW w:w="3901" w:type="pct"/>
            <w:tcBorders>
              <w:top w:val="single" w:color="000000" w:sz="2" w:space="0"/>
              <w:left w:val="single" w:color="000000" w:sz="2" w:space="0"/>
              <w:bottom w:val="single" w:color="000000" w:sz="2" w:space="0"/>
            </w:tcBorders>
            <w:vAlign w:val="center"/>
          </w:tcPr>
          <w:p w14:paraId="49174899">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每周一次或偶然暴露</w:t>
            </w:r>
          </w:p>
        </w:tc>
      </w:tr>
      <w:tr w14:paraId="33C6334E">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8" w:type="pct"/>
            <w:tcBorders>
              <w:top w:val="single" w:color="000000" w:sz="2" w:space="0"/>
              <w:bottom w:val="single" w:color="000000" w:sz="2" w:space="0"/>
              <w:right w:val="single" w:color="000000" w:sz="2" w:space="0"/>
            </w:tcBorders>
            <w:vAlign w:val="center"/>
          </w:tcPr>
          <w:p w14:paraId="3DE50BF6">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2</w:t>
            </w:r>
          </w:p>
        </w:tc>
        <w:tc>
          <w:tcPr>
            <w:tcW w:w="3901" w:type="pct"/>
            <w:tcBorders>
              <w:top w:val="single" w:color="000000" w:sz="2" w:space="0"/>
              <w:left w:val="single" w:color="000000" w:sz="2" w:space="0"/>
              <w:bottom w:val="single" w:color="000000" w:sz="2" w:space="0"/>
            </w:tcBorders>
            <w:vAlign w:val="center"/>
          </w:tcPr>
          <w:p w14:paraId="27103EAC">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每月暴露一次</w:t>
            </w:r>
          </w:p>
        </w:tc>
      </w:tr>
      <w:tr w14:paraId="1BBF77B8">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8" w:type="pct"/>
            <w:tcBorders>
              <w:top w:val="single" w:color="000000" w:sz="2" w:space="0"/>
              <w:bottom w:val="single" w:color="000000" w:sz="2" w:space="0"/>
              <w:right w:val="single" w:color="000000" w:sz="2" w:space="0"/>
            </w:tcBorders>
            <w:vAlign w:val="center"/>
          </w:tcPr>
          <w:p w14:paraId="2AA80EDB">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1</w:t>
            </w:r>
          </w:p>
        </w:tc>
        <w:tc>
          <w:tcPr>
            <w:tcW w:w="3901" w:type="pct"/>
            <w:tcBorders>
              <w:top w:val="single" w:color="000000" w:sz="2" w:space="0"/>
              <w:left w:val="single" w:color="000000" w:sz="2" w:space="0"/>
              <w:bottom w:val="single" w:color="000000" w:sz="2" w:space="0"/>
            </w:tcBorders>
            <w:vAlign w:val="center"/>
          </w:tcPr>
          <w:p w14:paraId="5EB9CE2D">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每年暴露一次</w:t>
            </w:r>
          </w:p>
        </w:tc>
      </w:tr>
      <w:tr w14:paraId="7DC814DC">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98" w:type="pct"/>
            <w:tcBorders>
              <w:top w:val="single" w:color="000000" w:sz="2" w:space="0"/>
              <w:right w:val="single" w:color="000000" w:sz="2" w:space="0"/>
            </w:tcBorders>
            <w:vAlign w:val="center"/>
          </w:tcPr>
          <w:p w14:paraId="79C7D2D4">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0.5</w:t>
            </w:r>
          </w:p>
        </w:tc>
        <w:tc>
          <w:tcPr>
            <w:tcW w:w="3901" w:type="pct"/>
            <w:tcBorders>
              <w:top w:val="single" w:color="000000" w:sz="2" w:space="0"/>
              <w:left w:val="single" w:color="000000" w:sz="2" w:space="0"/>
            </w:tcBorders>
            <w:vAlign w:val="center"/>
          </w:tcPr>
          <w:p w14:paraId="1EF12B8D">
            <w:pPr>
              <w:widowControl/>
              <w:wordWrap w:val="0"/>
              <w:topLinePunct/>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lang w:eastAsia="en-US"/>
              </w:rPr>
              <w:t>非常罕见的暴露</w:t>
            </w:r>
          </w:p>
        </w:tc>
      </w:tr>
    </w:tbl>
    <w:p w14:paraId="3791518D">
      <w:pPr>
        <w:pStyle w:val="51"/>
        <w:ind w:firstLine="420"/>
        <w:rPr>
          <w:lang w:eastAsia="en-US"/>
        </w:rPr>
      </w:pPr>
    </w:p>
    <w:p w14:paraId="62A2D2EF">
      <w:pPr>
        <w:pStyle w:val="51"/>
        <w:ind w:firstLine="420"/>
        <w:rPr>
          <w:lang w:eastAsia="en-US"/>
        </w:rPr>
      </w:pPr>
    </w:p>
    <w:p w14:paraId="3053D255">
      <w:pPr>
        <w:pStyle w:val="51"/>
        <w:ind w:firstLine="420"/>
        <w:rPr>
          <w:lang w:eastAsia="en-US"/>
        </w:rPr>
      </w:pPr>
    </w:p>
    <w:p w14:paraId="20EC7F49">
      <w:pPr>
        <w:pStyle w:val="51"/>
        <w:ind w:firstLine="420"/>
        <w:rPr>
          <w:lang w:eastAsia="en-US"/>
        </w:rPr>
      </w:pPr>
    </w:p>
    <w:p w14:paraId="691DF52E">
      <w:pPr>
        <w:pStyle w:val="51"/>
        <w:ind w:firstLine="420"/>
        <w:rPr>
          <w:lang w:eastAsia="en-US"/>
        </w:rPr>
      </w:pPr>
    </w:p>
    <w:p w14:paraId="69777187">
      <w:pPr>
        <w:pStyle w:val="51"/>
        <w:ind w:firstLine="420"/>
        <w:rPr>
          <w:lang w:eastAsia="en-US"/>
        </w:rPr>
      </w:pPr>
    </w:p>
    <w:p w14:paraId="7D6AB751">
      <w:pPr>
        <w:pStyle w:val="51"/>
        <w:ind w:firstLine="420"/>
        <w:rPr>
          <w:lang w:eastAsia="en-US"/>
        </w:rPr>
      </w:pPr>
    </w:p>
    <w:p w14:paraId="70B680AC">
      <w:pPr>
        <w:pStyle w:val="147"/>
        <w:spacing w:before="158" w:after="158"/>
      </w:pPr>
      <w:r>
        <w:rPr>
          <w:rFonts w:hint="eastAsia"/>
        </w:rPr>
        <w:t>发生事故可能造成的后果表</w:t>
      </w:r>
      <w:bookmarkEnd w:id="118"/>
    </w:p>
    <w:tbl>
      <w:tblPr>
        <w:tblStyle w:val="230"/>
        <w:tblW w:w="4998" w:type="pct"/>
        <w:jc w:val="center"/>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Layout w:type="autofit"/>
        <w:tblCellMar>
          <w:top w:w="0" w:type="dxa"/>
          <w:left w:w="0" w:type="dxa"/>
          <w:bottom w:w="0" w:type="dxa"/>
          <w:right w:w="0" w:type="dxa"/>
        </w:tblCellMar>
      </w:tblPr>
      <w:tblGrid>
        <w:gridCol w:w="837"/>
        <w:gridCol w:w="2015"/>
        <w:gridCol w:w="2134"/>
        <w:gridCol w:w="1638"/>
        <w:gridCol w:w="1322"/>
        <w:gridCol w:w="1519"/>
      </w:tblGrid>
      <w:tr w14:paraId="44197684">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442" w:type="pct"/>
            <w:tcBorders>
              <w:bottom w:val="single" w:color="000000" w:sz="8" w:space="0"/>
            </w:tcBorders>
            <w:tcMar>
              <w:top w:w="57" w:type="dxa"/>
              <w:left w:w="57" w:type="dxa"/>
              <w:bottom w:w="57" w:type="dxa"/>
              <w:right w:w="57" w:type="dxa"/>
            </w:tcMar>
            <w:vAlign w:val="center"/>
          </w:tcPr>
          <w:p w14:paraId="239EF5FD">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lang w:eastAsia="en-US"/>
              </w:rPr>
            </w:pPr>
            <w:r>
              <w:rPr>
                <w:rFonts w:hint="eastAsia" w:ascii="宋体" w:hAnsi="宋体" w:cs="宋体"/>
                <w:bCs/>
                <w:snapToGrid w:val="0"/>
                <w:color w:val="000000"/>
                <w:spacing w:val="6"/>
                <w:kern w:val="0"/>
                <w:sz w:val="18"/>
                <w:szCs w:val="18"/>
                <w:lang w:eastAsia="en-US"/>
              </w:rPr>
              <w:t>分值</w:t>
            </w:r>
          </w:p>
        </w:tc>
        <w:tc>
          <w:tcPr>
            <w:tcW w:w="1064" w:type="pct"/>
            <w:tcBorders>
              <w:bottom w:val="single" w:color="000000" w:sz="8" w:space="0"/>
            </w:tcBorders>
            <w:tcMar>
              <w:top w:w="57" w:type="dxa"/>
              <w:left w:w="57" w:type="dxa"/>
              <w:bottom w:w="57" w:type="dxa"/>
              <w:right w:w="57" w:type="dxa"/>
            </w:tcMar>
            <w:vAlign w:val="center"/>
          </w:tcPr>
          <w:p w14:paraId="2E1C24A2">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rPr>
            </w:pPr>
            <w:r>
              <w:rPr>
                <w:rFonts w:hint="eastAsia" w:ascii="宋体" w:hAnsi="宋体" w:cs="宋体"/>
                <w:bCs/>
                <w:snapToGrid w:val="0"/>
                <w:color w:val="000000"/>
                <w:spacing w:val="-3"/>
                <w:kern w:val="0"/>
                <w:sz w:val="18"/>
                <w:szCs w:val="18"/>
              </w:rPr>
              <w:t>法律法规及其他要求</w:t>
            </w:r>
          </w:p>
        </w:tc>
        <w:tc>
          <w:tcPr>
            <w:tcW w:w="1127" w:type="pct"/>
            <w:tcBorders>
              <w:bottom w:val="single" w:color="000000" w:sz="8" w:space="0"/>
            </w:tcBorders>
            <w:tcMar>
              <w:top w:w="57" w:type="dxa"/>
              <w:left w:w="57" w:type="dxa"/>
              <w:bottom w:w="57" w:type="dxa"/>
              <w:right w:w="57" w:type="dxa"/>
            </w:tcMar>
            <w:vAlign w:val="center"/>
          </w:tcPr>
          <w:p w14:paraId="37156482">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rPr>
            </w:pPr>
            <w:r>
              <w:rPr>
                <w:rFonts w:hint="eastAsia" w:ascii="宋体" w:hAnsi="宋体" w:cs="宋体"/>
                <w:bCs/>
                <w:snapToGrid w:val="0"/>
                <w:color w:val="000000"/>
                <w:spacing w:val="1"/>
                <w:kern w:val="0"/>
                <w:sz w:val="18"/>
                <w:szCs w:val="18"/>
              </w:rPr>
              <w:t>人员伤亡</w:t>
            </w:r>
          </w:p>
        </w:tc>
        <w:tc>
          <w:tcPr>
            <w:tcW w:w="865" w:type="pct"/>
            <w:tcBorders>
              <w:bottom w:val="single" w:color="000000" w:sz="8" w:space="0"/>
            </w:tcBorders>
            <w:tcMar>
              <w:top w:w="57" w:type="dxa"/>
              <w:left w:w="57" w:type="dxa"/>
              <w:bottom w:w="57" w:type="dxa"/>
              <w:right w:w="57" w:type="dxa"/>
            </w:tcMar>
            <w:vAlign w:val="center"/>
          </w:tcPr>
          <w:p w14:paraId="74126724">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rPr>
            </w:pPr>
            <w:r>
              <w:rPr>
                <w:rFonts w:hint="eastAsia" w:ascii="宋体" w:hAnsi="宋体" w:cs="宋体"/>
                <w:bCs/>
                <w:snapToGrid w:val="0"/>
                <w:color w:val="000000"/>
                <w:spacing w:val="-7"/>
                <w:kern w:val="0"/>
                <w:sz w:val="18"/>
                <w:szCs w:val="18"/>
              </w:rPr>
              <w:t>直接经济损失（万元）</w:t>
            </w:r>
          </w:p>
        </w:tc>
        <w:tc>
          <w:tcPr>
            <w:tcW w:w="698" w:type="pct"/>
            <w:tcBorders>
              <w:bottom w:val="single" w:color="000000" w:sz="8" w:space="0"/>
            </w:tcBorders>
            <w:tcMar>
              <w:top w:w="57" w:type="dxa"/>
              <w:left w:w="57" w:type="dxa"/>
              <w:bottom w:w="57" w:type="dxa"/>
              <w:right w:w="57" w:type="dxa"/>
            </w:tcMar>
            <w:vAlign w:val="center"/>
          </w:tcPr>
          <w:p w14:paraId="1AD93634">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rPr>
            </w:pPr>
            <w:r>
              <w:rPr>
                <w:rFonts w:hint="eastAsia" w:ascii="宋体" w:hAnsi="宋体" w:cs="宋体"/>
                <w:bCs/>
                <w:snapToGrid w:val="0"/>
                <w:color w:val="000000"/>
                <w:kern w:val="0"/>
                <w:sz w:val="18"/>
                <w:szCs w:val="18"/>
              </w:rPr>
              <w:t>停工</w:t>
            </w:r>
          </w:p>
        </w:tc>
        <w:tc>
          <w:tcPr>
            <w:tcW w:w="802" w:type="pct"/>
            <w:tcBorders>
              <w:bottom w:val="single" w:color="000000" w:sz="8" w:space="0"/>
            </w:tcBorders>
            <w:tcMar>
              <w:top w:w="57" w:type="dxa"/>
              <w:left w:w="57" w:type="dxa"/>
              <w:bottom w:w="57" w:type="dxa"/>
              <w:right w:w="57" w:type="dxa"/>
            </w:tcMar>
            <w:vAlign w:val="center"/>
          </w:tcPr>
          <w:p w14:paraId="2FE93B0E">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rPr>
            </w:pPr>
            <w:r>
              <w:rPr>
                <w:rFonts w:hint="eastAsia" w:ascii="宋体" w:hAnsi="宋体" w:cs="宋体"/>
                <w:bCs/>
                <w:snapToGrid w:val="0"/>
                <w:color w:val="000000"/>
                <w:kern w:val="0"/>
                <w:sz w:val="18"/>
                <w:szCs w:val="18"/>
              </w:rPr>
              <w:t>公司形象</w:t>
            </w:r>
          </w:p>
        </w:tc>
      </w:tr>
      <w:tr w14:paraId="44B46E81">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95" w:hRule="atLeast"/>
          <w:jc w:val="center"/>
        </w:trPr>
        <w:tc>
          <w:tcPr>
            <w:tcW w:w="442" w:type="pct"/>
            <w:tcBorders>
              <w:top w:val="single" w:color="000000" w:sz="8" w:space="0"/>
            </w:tcBorders>
            <w:tcMar>
              <w:top w:w="57" w:type="dxa"/>
              <w:left w:w="57" w:type="dxa"/>
              <w:bottom w:w="57" w:type="dxa"/>
              <w:right w:w="57" w:type="dxa"/>
            </w:tcMar>
            <w:vAlign w:val="center"/>
          </w:tcPr>
          <w:p w14:paraId="01E68F91">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rPr>
            </w:pPr>
            <w:r>
              <w:rPr>
                <w:rFonts w:hint="eastAsia" w:ascii="宋体" w:hAnsi="宋体" w:cs="宋体"/>
                <w:bCs/>
                <w:snapToGrid w:val="0"/>
                <w:color w:val="000000"/>
                <w:kern w:val="0"/>
                <w:sz w:val="18"/>
                <w:szCs w:val="18"/>
              </w:rPr>
              <w:t>100</w:t>
            </w:r>
          </w:p>
        </w:tc>
        <w:tc>
          <w:tcPr>
            <w:tcW w:w="1064" w:type="pct"/>
            <w:tcBorders>
              <w:top w:val="single" w:color="000000" w:sz="8" w:space="0"/>
            </w:tcBorders>
            <w:tcMar>
              <w:top w:w="57" w:type="dxa"/>
              <w:left w:w="57" w:type="dxa"/>
              <w:bottom w:w="57" w:type="dxa"/>
              <w:right w:w="57" w:type="dxa"/>
            </w:tcMar>
            <w:vAlign w:val="center"/>
          </w:tcPr>
          <w:p w14:paraId="2E40AEEE">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rPr>
            </w:pPr>
            <w:r>
              <w:rPr>
                <w:rFonts w:hint="eastAsia" w:ascii="宋体" w:hAnsi="宋体" w:cs="宋体"/>
                <w:bCs/>
                <w:snapToGrid w:val="0"/>
                <w:color w:val="000000"/>
                <w:kern w:val="0"/>
                <w:sz w:val="18"/>
                <w:szCs w:val="18"/>
              </w:rPr>
              <w:t>严重违反法律法规和标准</w:t>
            </w:r>
          </w:p>
        </w:tc>
        <w:tc>
          <w:tcPr>
            <w:tcW w:w="1127" w:type="pct"/>
            <w:tcBorders>
              <w:top w:val="single" w:color="000000" w:sz="8" w:space="0"/>
            </w:tcBorders>
            <w:tcMar>
              <w:top w:w="57" w:type="dxa"/>
              <w:left w:w="57" w:type="dxa"/>
              <w:bottom w:w="57" w:type="dxa"/>
              <w:right w:w="57" w:type="dxa"/>
            </w:tcMar>
            <w:vAlign w:val="center"/>
          </w:tcPr>
          <w:p w14:paraId="7A2086E2">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rPr>
            </w:pPr>
            <w:r>
              <w:rPr>
                <w:rFonts w:hint="eastAsia" w:ascii="宋体" w:hAnsi="宋体" w:cs="宋体"/>
                <w:bCs/>
                <w:snapToGrid w:val="0"/>
                <w:color w:val="000000"/>
                <w:kern w:val="0"/>
                <w:sz w:val="18"/>
                <w:szCs w:val="18"/>
              </w:rPr>
              <w:t>10人以上死亡，或50人以上重伤</w:t>
            </w:r>
          </w:p>
        </w:tc>
        <w:tc>
          <w:tcPr>
            <w:tcW w:w="865" w:type="pct"/>
            <w:tcBorders>
              <w:top w:val="single" w:color="000000" w:sz="8" w:space="0"/>
            </w:tcBorders>
            <w:tcMar>
              <w:top w:w="57" w:type="dxa"/>
              <w:left w:w="57" w:type="dxa"/>
              <w:bottom w:w="57" w:type="dxa"/>
              <w:right w:w="57" w:type="dxa"/>
            </w:tcMar>
            <w:vAlign w:val="center"/>
          </w:tcPr>
          <w:p w14:paraId="274EFB6C">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rPr>
            </w:pPr>
            <w:r>
              <w:rPr>
                <w:rFonts w:hint="eastAsia" w:ascii="宋体" w:hAnsi="宋体" w:cs="宋体"/>
                <w:bCs/>
                <w:snapToGrid w:val="0"/>
                <w:color w:val="000000"/>
                <w:kern w:val="0"/>
                <w:sz w:val="18"/>
                <w:szCs w:val="18"/>
              </w:rPr>
              <w:t>5000以上</w:t>
            </w:r>
          </w:p>
        </w:tc>
        <w:tc>
          <w:tcPr>
            <w:tcW w:w="698" w:type="pct"/>
            <w:tcBorders>
              <w:top w:val="single" w:color="000000" w:sz="8" w:space="0"/>
            </w:tcBorders>
            <w:tcMar>
              <w:top w:w="57" w:type="dxa"/>
              <w:left w:w="57" w:type="dxa"/>
              <w:bottom w:w="57" w:type="dxa"/>
              <w:right w:w="57" w:type="dxa"/>
            </w:tcMar>
            <w:vAlign w:val="center"/>
          </w:tcPr>
          <w:p w14:paraId="4E7BCF48">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rPr>
            </w:pPr>
            <w:r>
              <w:rPr>
                <w:rFonts w:hint="eastAsia" w:ascii="宋体" w:hAnsi="宋体" w:cs="宋体"/>
                <w:bCs/>
                <w:snapToGrid w:val="0"/>
                <w:color w:val="000000"/>
                <w:kern w:val="0"/>
                <w:sz w:val="18"/>
                <w:szCs w:val="18"/>
              </w:rPr>
              <w:t>公司停产</w:t>
            </w:r>
          </w:p>
        </w:tc>
        <w:tc>
          <w:tcPr>
            <w:tcW w:w="802" w:type="pct"/>
            <w:tcBorders>
              <w:top w:val="single" w:color="000000" w:sz="8" w:space="0"/>
            </w:tcBorders>
            <w:tcMar>
              <w:top w:w="57" w:type="dxa"/>
              <w:left w:w="57" w:type="dxa"/>
              <w:bottom w:w="57" w:type="dxa"/>
              <w:right w:w="57" w:type="dxa"/>
            </w:tcMar>
            <w:vAlign w:val="center"/>
          </w:tcPr>
          <w:p w14:paraId="28E2E8B2">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rPr>
            </w:pPr>
            <w:r>
              <w:rPr>
                <w:rFonts w:hint="eastAsia" w:ascii="宋体" w:hAnsi="宋体" w:cs="宋体"/>
                <w:bCs/>
                <w:snapToGrid w:val="0"/>
                <w:color w:val="000000"/>
                <w:kern w:val="0"/>
                <w:sz w:val="18"/>
                <w:szCs w:val="18"/>
              </w:rPr>
              <w:t>重大国际、国内影响</w:t>
            </w:r>
          </w:p>
        </w:tc>
      </w:tr>
      <w:tr w14:paraId="0C95047D">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442" w:type="pct"/>
            <w:tcMar>
              <w:top w:w="57" w:type="dxa"/>
              <w:left w:w="57" w:type="dxa"/>
              <w:bottom w:w="57" w:type="dxa"/>
              <w:right w:w="57" w:type="dxa"/>
            </w:tcMar>
            <w:vAlign w:val="center"/>
          </w:tcPr>
          <w:p w14:paraId="37425704">
            <w:pPr>
              <w:wordWrap w:val="0"/>
              <w:topLinePunct/>
              <w:autoSpaceDE w:val="0"/>
              <w:autoSpaceDN w:val="0"/>
              <w:snapToGrid w:val="0"/>
              <w:spacing w:line="240" w:lineRule="auto"/>
              <w:jc w:val="center"/>
              <w:textAlignment w:val="baseline"/>
              <w:rPr>
                <w:rFonts w:ascii="宋体" w:hAnsi="宋体" w:cs="宋体"/>
                <w:bCs/>
                <w:snapToGrid w:val="0"/>
                <w:color w:val="000000"/>
                <w:spacing w:val="8"/>
                <w:kern w:val="0"/>
                <w:sz w:val="18"/>
                <w:szCs w:val="18"/>
              </w:rPr>
            </w:pPr>
            <w:bookmarkStart w:id="119" w:name="_Toc13144_WPSOffice_Level3"/>
            <w:r>
              <w:rPr>
                <w:rFonts w:hint="eastAsia" w:ascii="宋体" w:hAnsi="宋体" w:cs="宋体"/>
                <w:bCs/>
                <w:snapToGrid w:val="0"/>
                <w:color w:val="000000"/>
                <w:spacing w:val="8"/>
                <w:kern w:val="0"/>
                <w:sz w:val="18"/>
                <w:szCs w:val="18"/>
              </w:rPr>
              <w:t>40</w:t>
            </w:r>
          </w:p>
        </w:tc>
        <w:tc>
          <w:tcPr>
            <w:tcW w:w="1064" w:type="pct"/>
            <w:tcMar>
              <w:top w:w="57" w:type="dxa"/>
              <w:left w:w="57" w:type="dxa"/>
              <w:bottom w:w="57" w:type="dxa"/>
              <w:right w:w="57" w:type="dxa"/>
            </w:tcMar>
            <w:vAlign w:val="center"/>
          </w:tcPr>
          <w:p w14:paraId="70665D0C">
            <w:pPr>
              <w:wordWrap w:val="0"/>
              <w:topLinePunct/>
              <w:autoSpaceDE w:val="0"/>
              <w:autoSpaceDN w:val="0"/>
              <w:snapToGrid w:val="0"/>
              <w:spacing w:line="240" w:lineRule="auto"/>
              <w:jc w:val="center"/>
              <w:textAlignment w:val="baseline"/>
              <w:rPr>
                <w:rFonts w:ascii="宋体" w:hAnsi="宋体" w:cs="宋体"/>
                <w:bCs/>
                <w:snapToGrid w:val="0"/>
                <w:color w:val="000000"/>
                <w:spacing w:val="1"/>
                <w:kern w:val="0"/>
                <w:sz w:val="18"/>
                <w:szCs w:val="18"/>
              </w:rPr>
            </w:pPr>
            <w:r>
              <w:rPr>
                <w:rFonts w:hint="eastAsia" w:ascii="宋体" w:hAnsi="宋体" w:cs="宋体"/>
                <w:bCs/>
                <w:snapToGrid w:val="0"/>
                <w:color w:val="000000"/>
                <w:spacing w:val="1"/>
                <w:kern w:val="0"/>
                <w:sz w:val="18"/>
                <w:szCs w:val="18"/>
              </w:rPr>
              <w:t>违反法律法规和标准</w:t>
            </w:r>
          </w:p>
        </w:tc>
        <w:tc>
          <w:tcPr>
            <w:tcW w:w="1127" w:type="pct"/>
            <w:tcMar>
              <w:top w:w="57" w:type="dxa"/>
              <w:left w:w="57" w:type="dxa"/>
              <w:bottom w:w="57" w:type="dxa"/>
              <w:right w:w="57" w:type="dxa"/>
            </w:tcMar>
            <w:vAlign w:val="center"/>
          </w:tcPr>
          <w:p w14:paraId="50CD40E5">
            <w:pPr>
              <w:wordWrap w:val="0"/>
              <w:topLinePunct/>
              <w:autoSpaceDE w:val="0"/>
              <w:autoSpaceDN w:val="0"/>
              <w:snapToGrid w:val="0"/>
              <w:spacing w:line="240" w:lineRule="auto"/>
              <w:jc w:val="center"/>
              <w:textAlignment w:val="baseline"/>
              <w:rPr>
                <w:rFonts w:ascii="宋体" w:hAnsi="宋体" w:cs="宋体"/>
                <w:bCs/>
                <w:snapToGrid w:val="0"/>
                <w:color w:val="000000"/>
                <w:spacing w:val="6"/>
                <w:kern w:val="0"/>
                <w:sz w:val="18"/>
                <w:szCs w:val="18"/>
              </w:rPr>
            </w:pPr>
            <w:r>
              <w:rPr>
                <w:rFonts w:hint="eastAsia" w:ascii="宋体" w:hAnsi="宋体" w:cs="宋体"/>
                <w:bCs/>
                <w:snapToGrid w:val="0"/>
                <w:color w:val="000000"/>
                <w:spacing w:val="6"/>
                <w:kern w:val="0"/>
                <w:sz w:val="18"/>
                <w:szCs w:val="18"/>
              </w:rPr>
              <w:t>3人以上10人以下死亡，或10人以上50人以下重伤</w:t>
            </w:r>
          </w:p>
        </w:tc>
        <w:tc>
          <w:tcPr>
            <w:tcW w:w="865" w:type="pct"/>
            <w:tcMar>
              <w:top w:w="57" w:type="dxa"/>
              <w:left w:w="57" w:type="dxa"/>
              <w:bottom w:w="57" w:type="dxa"/>
              <w:right w:w="57" w:type="dxa"/>
            </w:tcMar>
            <w:vAlign w:val="center"/>
          </w:tcPr>
          <w:p w14:paraId="5C772EF7">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rPr>
            </w:pPr>
            <w:r>
              <w:rPr>
                <w:rFonts w:hint="eastAsia" w:ascii="宋体" w:hAnsi="宋体" w:cs="宋体"/>
                <w:bCs/>
                <w:snapToGrid w:val="0"/>
                <w:color w:val="000000"/>
                <w:kern w:val="0"/>
                <w:sz w:val="18"/>
                <w:szCs w:val="18"/>
              </w:rPr>
              <w:t>1000以上</w:t>
            </w:r>
          </w:p>
        </w:tc>
        <w:tc>
          <w:tcPr>
            <w:tcW w:w="698" w:type="pct"/>
            <w:tcMar>
              <w:top w:w="57" w:type="dxa"/>
              <w:left w:w="57" w:type="dxa"/>
              <w:bottom w:w="57" w:type="dxa"/>
              <w:right w:w="57" w:type="dxa"/>
            </w:tcMar>
            <w:vAlign w:val="center"/>
          </w:tcPr>
          <w:p w14:paraId="03FE7695">
            <w:pPr>
              <w:wordWrap w:val="0"/>
              <w:topLinePunct/>
              <w:autoSpaceDE w:val="0"/>
              <w:autoSpaceDN w:val="0"/>
              <w:snapToGrid w:val="0"/>
              <w:spacing w:line="240" w:lineRule="auto"/>
              <w:jc w:val="center"/>
              <w:textAlignment w:val="baseline"/>
              <w:rPr>
                <w:rFonts w:ascii="宋体" w:hAnsi="宋体" w:cs="宋体"/>
                <w:bCs/>
                <w:snapToGrid w:val="0"/>
                <w:color w:val="000000"/>
                <w:spacing w:val="7"/>
                <w:kern w:val="0"/>
                <w:sz w:val="18"/>
                <w:szCs w:val="18"/>
              </w:rPr>
            </w:pPr>
            <w:r>
              <w:rPr>
                <w:rFonts w:hint="eastAsia" w:ascii="宋体" w:hAnsi="宋体" w:cs="宋体"/>
                <w:bCs/>
                <w:snapToGrid w:val="0"/>
                <w:color w:val="000000"/>
                <w:spacing w:val="7"/>
                <w:kern w:val="0"/>
                <w:sz w:val="18"/>
                <w:szCs w:val="18"/>
              </w:rPr>
              <w:t>装置停工</w:t>
            </w:r>
          </w:p>
        </w:tc>
        <w:tc>
          <w:tcPr>
            <w:tcW w:w="802" w:type="pct"/>
            <w:tcMar>
              <w:top w:w="57" w:type="dxa"/>
              <w:left w:w="57" w:type="dxa"/>
              <w:bottom w:w="57" w:type="dxa"/>
              <w:right w:w="57" w:type="dxa"/>
            </w:tcMar>
            <w:vAlign w:val="center"/>
          </w:tcPr>
          <w:p w14:paraId="7F457EC7">
            <w:pPr>
              <w:wordWrap w:val="0"/>
              <w:topLinePunct/>
              <w:autoSpaceDE w:val="0"/>
              <w:autoSpaceDN w:val="0"/>
              <w:snapToGrid w:val="0"/>
              <w:spacing w:line="240" w:lineRule="auto"/>
              <w:jc w:val="center"/>
              <w:textAlignment w:val="baseline"/>
              <w:rPr>
                <w:rFonts w:ascii="宋体" w:hAnsi="宋体" w:cs="宋体"/>
                <w:bCs/>
                <w:snapToGrid w:val="0"/>
                <w:color w:val="000000"/>
                <w:spacing w:val="6"/>
                <w:kern w:val="0"/>
                <w:sz w:val="18"/>
                <w:szCs w:val="18"/>
              </w:rPr>
            </w:pPr>
            <w:r>
              <w:rPr>
                <w:rFonts w:hint="eastAsia" w:ascii="宋体" w:hAnsi="宋体" w:cs="宋体"/>
                <w:bCs/>
                <w:snapToGrid w:val="0"/>
                <w:color w:val="000000"/>
                <w:spacing w:val="6"/>
                <w:kern w:val="0"/>
                <w:sz w:val="18"/>
                <w:szCs w:val="18"/>
              </w:rPr>
              <w:t>行业内、省内影响</w:t>
            </w:r>
          </w:p>
        </w:tc>
      </w:tr>
      <w:tr w14:paraId="1B8ED6D3">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442" w:type="pct"/>
            <w:tcMar>
              <w:top w:w="57" w:type="dxa"/>
              <w:left w:w="57" w:type="dxa"/>
              <w:bottom w:w="57" w:type="dxa"/>
              <w:right w:w="57" w:type="dxa"/>
            </w:tcMar>
            <w:vAlign w:val="center"/>
          </w:tcPr>
          <w:p w14:paraId="1E25FC92">
            <w:pPr>
              <w:wordWrap w:val="0"/>
              <w:topLinePunct/>
              <w:autoSpaceDE w:val="0"/>
              <w:autoSpaceDN w:val="0"/>
              <w:snapToGrid w:val="0"/>
              <w:spacing w:line="240" w:lineRule="auto"/>
              <w:jc w:val="center"/>
              <w:textAlignment w:val="baseline"/>
              <w:rPr>
                <w:rFonts w:ascii="宋体" w:hAnsi="宋体" w:cs="宋体"/>
                <w:bCs/>
                <w:snapToGrid w:val="0"/>
                <w:color w:val="000000"/>
                <w:spacing w:val="8"/>
                <w:kern w:val="0"/>
                <w:sz w:val="18"/>
                <w:szCs w:val="18"/>
              </w:rPr>
            </w:pPr>
            <w:r>
              <w:rPr>
                <w:rFonts w:hint="eastAsia" w:ascii="宋体" w:hAnsi="宋体" w:cs="宋体"/>
                <w:bCs/>
                <w:snapToGrid w:val="0"/>
                <w:color w:val="000000"/>
                <w:spacing w:val="8"/>
                <w:kern w:val="0"/>
                <w:sz w:val="18"/>
                <w:szCs w:val="18"/>
              </w:rPr>
              <w:t>15</w:t>
            </w:r>
          </w:p>
        </w:tc>
        <w:tc>
          <w:tcPr>
            <w:tcW w:w="1064" w:type="pct"/>
            <w:tcMar>
              <w:top w:w="57" w:type="dxa"/>
              <w:left w:w="57" w:type="dxa"/>
              <w:bottom w:w="57" w:type="dxa"/>
              <w:right w:w="57" w:type="dxa"/>
            </w:tcMar>
            <w:vAlign w:val="center"/>
          </w:tcPr>
          <w:p w14:paraId="3A7D9134">
            <w:pPr>
              <w:wordWrap w:val="0"/>
              <w:topLinePunct/>
              <w:autoSpaceDE w:val="0"/>
              <w:autoSpaceDN w:val="0"/>
              <w:snapToGrid w:val="0"/>
              <w:spacing w:line="240" w:lineRule="auto"/>
              <w:jc w:val="center"/>
              <w:textAlignment w:val="baseline"/>
              <w:rPr>
                <w:rFonts w:ascii="宋体" w:hAnsi="宋体" w:cs="宋体"/>
                <w:bCs/>
                <w:snapToGrid w:val="0"/>
                <w:color w:val="000000"/>
                <w:spacing w:val="1"/>
                <w:kern w:val="0"/>
                <w:sz w:val="18"/>
                <w:szCs w:val="18"/>
              </w:rPr>
            </w:pPr>
            <w:r>
              <w:rPr>
                <w:rFonts w:hint="eastAsia" w:ascii="宋体" w:hAnsi="宋体" w:cs="宋体"/>
                <w:bCs/>
                <w:snapToGrid w:val="0"/>
                <w:color w:val="000000"/>
                <w:spacing w:val="1"/>
                <w:kern w:val="0"/>
                <w:sz w:val="18"/>
                <w:szCs w:val="18"/>
              </w:rPr>
              <w:t>潜在违反法规和标准</w:t>
            </w:r>
          </w:p>
        </w:tc>
        <w:tc>
          <w:tcPr>
            <w:tcW w:w="1127" w:type="pct"/>
            <w:tcMar>
              <w:top w:w="57" w:type="dxa"/>
              <w:left w:w="57" w:type="dxa"/>
              <w:bottom w:w="57" w:type="dxa"/>
              <w:right w:w="57" w:type="dxa"/>
            </w:tcMar>
            <w:vAlign w:val="center"/>
          </w:tcPr>
          <w:p w14:paraId="62AE767E">
            <w:pPr>
              <w:wordWrap w:val="0"/>
              <w:topLinePunct/>
              <w:autoSpaceDE w:val="0"/>
              <w:autoSpaceDN w:val="0"/>
              <w:snapToGrid w:val="0"/>
              <w:spacing w:line="240" w:lineRule="auto"/>
              <w:jc w:val="center"/>
              <w:textAlignment w:val="baseline"/>
              <w:rPr>
                <w:rFonts w:ascii="宋体" w:hAnsi="宋体" w:cs="宋体"/>
                <w:bCs/>
                <w:snapToGrid w:val="0"/>
                <w:color w:val="000000"/>
                <w:spacing w:val="6"/>
                <w:kern w:val="0"/>
                <w:sz w:val="18"/>
                <w:szCs w:val="18"/>
              </w:rPr>
            </w:pPr>
            <w:r>
              <w:rPr>
                <w:rFonts w:hint="eastAsia" w:ascii="宋体" w:hAnsi="宋体" w:cs="宋体"/>
                <w:bCs/>
                <w:snapToGrid w:val="0"/>
                <w:color w:val="000000"/>
                <w:spacing w:val="6"/>
                <w:kern w:val="0"/>
                <w:sz w:val="18"/>
                <w:szCs w:val="18"/>
              </w:rPr>
              <w:t>3人以下死亡，或10人以下重伤</w:t>
            </w:r>
          </w:p>
        </w:tc>
        <w:tc>
          <w:tcPr>
            <w:tcW w:w="865" w:type="pct"/>
            <w:tcMar>
              <w:top w:w="57" w:type="dxa"/>
              <w:left w:w="57" w:type="dxa"/>
              <w:bottom w:w="57" w:type="dxa"/>
              <w:right w:w="57" w:type="dxa"/>
            </w:tcMar>
            <w:vAlign w:val="center"/>
          </w:tcPr>
          <w:p w14:paraId="4171BD17">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rPr>
            </w:pPr>
            <w:r>
              <w:rPr>
                <w:rFonts w:hint="eastAsia" w:ascii="宋体" w:hAnsi="宋体" w:cs="宋体"/>
                <w:bCs/>
                <w:snapToGrid w:val="0"/>
                <w:color w:val="000000"/>
                <w:kern w:val="0"/>
                <w:sz w:val="18"/>
                <w:szCs w:val="18"/>
              </w:rPr>
              <w:t>100以上</w:t>
            </w:r>
          </w:p>
        </w:tc>
        <w:tc>
          <w:tcPr>
            <w:tcW w:w="698" w:type="pct"/>
            <w:tcMar>
              <w:top w:w="57" w:type="dxa"/>
              <w:left w:w="57" w:type="dxa"/>
              <w:bottom w:w="57" w:type="dxa"/>
              <w:right w:w="57" w:type="dxa"/>
            </w:tcMar>
            <w:vAlign w:val="center"/>
          </w:tcPr>
          <w:p w14:paraId="45393804">
            <w:pPr>
              <w:wordWrap w:val="0"/>
              <w:topLinePunct/>
              <w:autoSpaceDE w:val="0"/>
              <w:autoSpaceDN w:val="0"/>
              <w:snapToGrid w:val="0"/>
              <w:spacing w:line="240" w:lineRule="auto"/>
              <w:jc w:val="center"/>
              <w:textAlignment w:val="baseline"/>
              <w:rPr>
                <w:rFonts w:ascii="宋体" w:hAnsi="宋体" w:cs="宋体"/>
                <w:bCs/>
                <w:snapToGrid w:val="0"/>
                <w:color w:val="000000"/>
                <w:spacing w:val="7"/>
                <w:kern w:val="0"/>
                <w:sz w:val="18"/>
                <w:szCs w:val="18"/>
              </w:rPr>
            </w:pPr>
            <w:r>
              <w:rPr>
                <w:rFonts w:hint="eastAsia" w:ascii="宋体" w:hAnsi="宋体" w:cs="宋体"/>
                <w:bCs/>
                <w:snapToGrid w:val="0"/>
                <w:color w:val="000000"/>
                <w:spacing w:val="7"/>
                <w:kern w:val="0"/>
                <w:sz w:val="18"/>
                <w:szCs w:val="18"/>
              </w:rPr>
              <w:t>部分装置停工</w:t>
            </w:r>
          </w:p>
        </w:tc>
        <w:tc>
          <w:tcPr>
            <w:tcW w:w="802" w:type="pct"/>
            <w:tcMar>
              <w:top w:w="57" w:type="dxa"/>
              <w:left w:w="57" w:type="dxa"/>
              <w:bottom w:w="57" w:type="dxa"/>
              <w:right w:w="57" w:type="dxa"/>
            </w:tcMar>
            <w:vAlign w:val="center"/>
          </w:tcPr>
          <w:p w14:paraId="2BDF9389">
            <w:pPr>
              <w:wordWrap w:val="0"/>
              <w:topLinePunct/>
              <w:autoSpaceDE w:val="0"/>
              <w:autoSpaceDN w:val="0"/>
              <w:snapToGrid w:val="0"/>
              <w:spacing w:line="240" w:lineRule="auto"/>
              <w:jc w:val="center"/>
              <w:textAlignment w:val="baseline"/>
              <w:rPr>
                <w:rFonts w:ascii="宋体" w:hAnsi="宋体" w:cs="宋体"/>
                <w:bCs/>
                <w:snapToGrid w:val="0"/>
                <w:color w:val="000000"/>
                <w:spacing w:val="6"/>
                <w:kern w:val="0"/>
                <w:sz w:val="18"/>
                <w:szCs w:val="18"/>
              </w:rPr>
            </w:pPr>
            <w:r>
              <w:rPr>
                <w:rFonts w:hint="eastAsia" w:ascii="宋体" w:hAnsi="宋体" w:cs="宋体"/>
                <w:bCs/>
                <w:snapToGrid w:val="0"/>
                <w:color w:val="000000"/>
                <w:spacing w:val="6"/>
                <w:kern w:val="0"/>
                <w:sz w:val="18"/>
                <w:szCs w:val="18"/>
              </w:rPr>
              <w:t>地区影响</w:t>
            </w:r>
          </w:p>
        </w:tc>
      </w:tr>
      <w:tr w14:paraId="1AA4BBE3">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625" w:hRule="atLeast"/>
          <w:jc w:val="center"/>
        </w:trPr>
        <w:tc>
          <w:tcPr>
            <w:tcW w:w="442" w:type="pct"/>
            <w:tcMar>
              <w:top w:w="57" w:type="dxa"/>
              <w:left w:w="57" w:type="dxa"/>
              <w:bottom w:w="57" w:type="dxa"/>
              <w:right w:w="57" w:type="dxa"/>
            </w:tcMar>
            <w:vAlign w:val="center"/>
          </w:tcPr>
          <w:p w14:paraId="7DF3EBCD">
            <w:pPr>
              <w:wordWrap w:val="0"/>
              <w:topLinePunct/>
              <w:autoSpaceDE w:val="0"/>
              <w:autoSpaceDN w:val="0"/>
              <w:snapToGrid w:val="0"/>
              <w:spacing w:line="240" w:lineRule="auto"/>
              <w:jc w:val="center"/>
              <w:textAlignment w:val="baseline"/>
              <w:rPr>
                <w:rFonts w:ascii="宋体" w:hAnsi="宋体" w:cs="宋体"/>
                <w:bCs/>
                <w:snapToGrid w:val="0"/>
                <w:color w:val="000000"/>
                <w:spacing w:val="8"/>
                <w:kern w:val="0"/>
                <w:sz w:val="18"/>
                <w:szCs w:val="18"/>
              </w:rPr>
            </w:pPr>
            <w:r>
              <w:rPr>
                <w:rFonts w:hint="eastAsia" w:ascii="宋体" w:hAnsi="宋体" w:cs="宋体"/>
                <w:bCs/>
                <w:snapToGrid w:val="0"/>
                <w:color w:val="000000"/>
                <w:spacing w:val="8"/>
                <w:kern w:val="0"/>
                <w:sz w:val="18"/>
                <w:szCs w:val="18"/>
              </w:rPr>
              <w:t>7</w:t>
            </w:r>
          </w:p>
        </w:tc>
        <w:tc>
          <w:tcPr>
            <w:tcW w:w="1064" w:type="pct"/>
            <w:tcMar>
              <w:top w:w="57" w:type="dxa"/>
              <w:left w:w="57" w:type="dxa"/>
              <w:bottom w:w="57" w:type="dxa"/>
              <w:right w:w="57" w:type="dxa"/>
            </w:tcMar>
            <w:vAlign w:val="center"/>
          </w:tcPr>
          <w:p w14:paraId="62B610F1">
            <w:pPr>
              <w:wordWrap w:val="0"/>
              <w:topLinePunct/>
              <w:autoSpaceDE w:val="0"/>
              <w:autoSpaceDN w:val="0"/>
              <w:snapToGrid w:val="0"/>
              <w:spacing w:line="240" w:lineRule="auto"/>
              <w:jc w:val="center"/>
              <w:textAlignment w:val="baseline"/>
              <w:rPr>
                <w:rFonts w:ascii="宋体" w:hAnsi="宋体" w:cs="宋体"/>
                <w:bCs/>
                <w:snapToGrid w:val="0"/>
                <w:color w:val="000000"/>
                <w:spacing w:val="1"/>
                <w:kern w:val="0"/>
                <w:sz w:val="18"/>
                <w:szCs w:val="18"/>
              </w:rPr>
            </w:pPr>
            <w:r>
              <w:rPr>
                <w:rFonts w:hint="eastAsia" w:ascii="宋体" w:hAnsi="宋体" w:cs="宋体"/>
                <w:bCs/>
                <w:snapToGrid w:val="0"/>
                <w:color w:val="000000"/>
                <w:spacing w:val="1"/>
                <w:kern w:val="0"/>
                <w:sz w:val="18"/>
                <w:szCs w:val="18"/>
              </w:rPr>
              <w:t>不符合上级或行业的安全方针、制度、规定等</w:t>
            </w:r>
          </w:p>
        </w:tc>
        <w:tc>
          <w:tcPr>
            <w:tcW w:w="1127" w:type="pct"/>
            <w:tcMar>
              <w:top w:w="57" w:type="dxa"/>
              <w:left w:w="57" w:type="dxa"/>
              <w:bottom w:w="57" w:type="dxa"/>
              <w:right w:w="57" w:type="dxa"/>
            </w:tcMar>
            <w:vAlign w:val="center"/>
          </w:tcPr>
          <w:p w14:paraId="3ACED95B">
            <w:pPr>
              <w:wordWrap w:val="0"/>
              <w:topLinePunct/>
              <w:autoSpaceDE w:val="0"/>
              <w:autoSpaceDN w:val="0"/>
              <w:snapToGrid w:val="0"/>
              <w:spacing w:line="240" w:lineRule="auto"/>
              <w:jc w:val="center"/>
              <w:textAlignment w:val="baseline"/>
              <w:rPr>
                <w:rFonts w:ascii="宋体" w:hAnsi="宋体" w:cs="宋体"/>
                <w:bCs/>
                <w:snapToGrid w:val="0"/>
                <w:color w:val="000000"/>
                <w:spacing w:val="6"/>
                <w:kern w:val="0"/>
                <w:sz w:val="18"/>
                <w:szCs w:val="18"/>
              </w:rPr>
            </w:pPr>
            <w:r>
              <w:rPr>
                <w:rFonts w:hint="eastAsia" w:ascii="宋体" w:hAnsi="宋体" w:cs="宋体"/>
                <w:bCs/>
                <w:snapToGrid w:val="0"/>
                <w:color w:val="000000"/>
                <w:spacing w:val="6"/>
                <w:kern w:val="0"/>
                <w:sz w:val="18"/>
                <w:szCs w:val="18"/>
              </w:rPr>
              <w:t>丧失劳动力、截肢、骨折、听力丧失、慢性病</w:t>
            </w:r>
          </w:p>
        </w:tc>
        <w:tc>
          <w:tcPr>
            <w:tcW w:w="865" w:type="pct"/>
            <w:tcMar>
              <w:top w:w="57" w:type="dxa"/>
              <w:left w:w="57" w:type="dxa"/>
              <w:bottom w:w="57" w:type="dxa"/>
              <w:right w:w="57" w:type="dxa"/>
            </w:tcMar>
            <w:vAlign w:val="center"/>
          </w:tcPr>
          <w:p w14:paraId="3F425188">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rPr>
            </w:pPr>
            <w:r>
              <w:rPr>
                <w:rFonts w:hint="eastAsia" w:ascii="宋体" w:hAnsi="宋体" w:cs="宋体"/>
                <w:bCs/>
                <w:snapToGrid w:val="0"/>
                <w:color w:val="000000"/>
                <w:kern w:val="0"/>
                <w:sz w:val="18"/>
                <w:szCs w:val="18"/>
              </w:rPr>
              <w:t>10以上</w:t>
            </w:r>
          </w:p>
        </w:tc>
        <w:tc>
          <w:tcPr>
            <w:tcW w:w="698" w:type="pct"/>
            <w:tcMar>
              <w:top w:w="57" w:type="dxa"/>
              <w:left w:w="57" w:type="dxa"/>
              <w:bottom w:w="57" w:type="dxa"/>
              <w:right w:w="57" w:type="dxa"/>
            </w:tcMar>
            <w:vAlign w:val="center"/>
          </w:tcPr>
          <w:p w14:paraId="1E9207E5">
            <w:pPr>
              <w:wordWrap w:val="0"/>
              <w:topLinePunct/>
              <w:autoSpaceDE w:val="0"/>
              <w:autoSpaceDN w:val="0"/>
              <w:snapToGrid w:val="0"/>
              <w:spacing w:line="240" w:lineRule="auto"/>
              <w:jc w:val="center"/>
              <w:textAlignment w:val="baseline"/>
              <w:rPr>
                <w:rFonts w:ascii="宋体" w:hAnsi="宋体" w:cs="宋体"/>
                <w:bCs/>
                <w:snapToGrid w:val="0"/>
                <w:color w:val="000000"/>
                <w:spacing w:val="7"/>
                <w:kern w:val="0"/>
                <w:sz w:val="18"/>
                <w:szCs w:val="18"/>
              </w:rPr>
            </w:pPr>
            <w:r>
              <w:rPr>
                <w:rFonts w:hint="eastAsia" w:ascii="宋体" w:hAnsi="宋体" w:cs="宋体"/>
                <w:bCs/>
                <w:snapToGrid w:val="0"/>
                <w:color w:val="000000"/>
                <w:spacing w:val="7"/>
                <w:kern w:val="0"/>
                <w:sz w:val="18"/>
                <w:szCs w:val="18"/>
              </w:rPr>
              <w:t>部分设备停工</w:t>
            </w:r>
          </w:p>
        </w:tc>
        <w:tc>
          <w:tcPr>
            <w:tcW w:w="802" w:type="pct"/>
            <w:tcMar>
              <w:top w:w="57" w:type="dxa"/>
              <w:left w:w="57" w:type="dxa"/>
              <w:bottom w:w="57" w:type="dxa"/>
              <w:right w:w="57" w:type="dxa"/>
            </w:tcMar>
            <w:vAlign w:val="center"/>
          </w:tcPr>
          <w:p w14:paraId="0C2B75E5">
            <w:pPr>
              <w:wordWrap w:val="0"/>
              <w:topLinePunct/>
              <w:autoSpaceDE w:val="0"/>
              <w:autoSpaceDN w:val="0"/>
              <w:snapToGrid w:val="0"/>
              <w:spacing w:line="240" w:lineRule="auto"/>
              <w:textAlignment w:val="baseline"/>
              <w:rPr>
                <w:rFonts w:ascii="宋体" w:hAnsi="宋体" w:cs="宋体"/>
                <w:bCs/>
                <w:snapToGrid w:val="0"/>
                <w:color w:val="000000"/>
                <w:spacing w:val="6"/>
                <w:kern w:val="0"/>
                <w:sz w:val="18"/>
                <w:szCs w:val="18"/>
              </w:rPr>
            </w:pPr>
            <w:r>
              <w:rPr>
                <w:rFonts w:hint="eastAsia" w:ascii="宋体" w:hAnsi="宋体" w:cs="宋体"/>
                <w:bCs/>
                <w:snapToGrid w:val="0"/>
                <w:color w:val="000000"/>
                <w:spacing w:val="6"/>
                <w:kern w:val="0"/>
                <w:sz w:val="18"/>
                <w:szCs w:val="18"/>
              </w:rPr>
              <w:t>公司及周边影响</w:t>
            </w:r>
          </w:p>
        </w:tc>
      </w:tr>
      <w:tr w14:paraId="0FC545B8">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655" w:hRule="atLeast"/>
          <w:jc w:val="center"/>
        </w:trPr>
        <w:tc>
          <w:tcPr>
            <w:tcW w:w="442" w:type="pct"/>
            <w:tcMar>
              <w:top w:w="57" w:type="dxa"/>
              <w:left w:w="57" w:type="dxa"/>
              <w:bottom w:w="57" w:type="dxa"/>
              <w:right w:w="57" w:type="dxa"/>
            </w:tcMar>
            <w:vAlign w:val="center"/>
          </w:tcPr>
          <w:p w14:paraId="534D23AE">
            <w:pPr>
              <w:wordWrap w:val="0"/>
              <w:topLinePunct/>
              <w:autoSpaceDE w:val="0"/>
              <w:autoSpaceDN w:val="0"/>
              <w:snapToGrid w:val="0"/>
              <w:spacing w:line="240" w:lineRule="auto"/>
              <w:jc w:val="center"/>
              <w:textAlignment w:val="baseline"/>
              <w:rPr>
                <w:rFonts w:ascii="宋体" w:hAnsi="宋体" w:cs="宋体"/>
                <w:bCs/>
                <w:snapToGrid w:val="0"/>
                <w:color w:val="000000"/>
                <w:spacing w:val="8"/>
                <w:kern w:val="0"/>
                <w:sz w:val="18"/>
                <w:szCs w:val="18"/>
              </w:rPr>
            </w:pPr>
            <w:r>
              <w:rPr>
                <w:rFonts w:hint="eastAsia" w:ascii="宋体" w:hAnsi="宋体" w:cs="宋体"/>
                <w:bCs/>
                <w:snapToGrid w:val="0"/>
                <w:color w:val="000000"/>
                <w:spacing w:val="8"/>
                <w:kern w:val="0"/>
                <w:sz w:val="18"/>
                <w:szCs w:val="18"/>
              </w:rPr>
              <w:t>2</w:t>
            </w:r>
          </w:p>
        </w:tc>
        <w:tc>
          <w:tcPr>
            <w:tcW w:w="1064" w:type="pct"/>
            <w:tcMar>
              <w:top w:w="57" w:type="dxa"/>
              <w:left w:w="57" w:type="dxa"/>
              <w:bottom w:w="57" w:type="dxa"/>
              <w:right w:w="57" w:type="dxa"/>
            </w:tcMar>
            <w:vAlign w:val="center"/>
          </w:tcPr>
          <w:p w14:paraId="3A668CF8">
            <w:pPr>
              <w:wordWrap w:val="0"/>
              <w:topLinePunct/>
              <w:autoSpaceDE w:val="0"/>
              <w:autoSpaceDN w:val="0"/>
              <w:snapToGrid w:val="0"/>
              <w:spacing w:line="240" w:lineRule="auto"/>
              <w:jc w:val="center"/>
              <w:textAlignment w:val="baseline"/>
              <w:rPr>
                <w:rFonts w:ascii="宋体" w:hAnsi="宋体" w:cs="宋体"/>
                <w:bCs/>
                <w:snapToGrid w:val="0"/>
                <w:color w:val="000000"/>
                <w:spacing w:val="1"/>
                <w:kern w:val="0"/>
                <w:sz w:val="18"/>
                <w:szCs w:val="18"/>
              </w:rPr>
            </w:pPr>
            <w:r>
              <w:rPr>
                <w:rFonts w:hint="eastAsia" w:ascii="宋体" w:hAnsi="宋体" w:cs="宋体"/>
                <w:bCs/>
                <w:snapToGrid w:val="0"/>
                <w:color w:val="000000"/>
                <w:spacing w:val="1"/>
                <w:kern w:val="0"/>
                <w:sz w:val="18"/>
                <w:szCs w:val="18"/>
              </w:rPr>
              <w:t>不符合公司的安全操作程序、规定</w:t>
            </w:r>
          </w:p>
        </w:tc>
        <w:tc>
          <w:tcPr>
            <w:tcW w:w="1127" w:type="pct"/>
            <w:tcMar>
              <w:top w:w="57" w:type="dxa"/>
              <w:left w:w="57" w:type="dxa"/>
              <w:bottom w:w="57" w:type="dxa"/>
              <w:right w:w="57" w:type="dxa"/>
            </w:tcMar>
            <w:vAlign w:val="center"/>
          </w:tcPr>
          <w:p w14:paraId="2E85F408">
            <w:pPr>
              <w:wordWrap w:val="0"/>
              <w:topLinePunct/>
              <w:autoSpaceDE w:val="0"/>
              <w:autoSpaceDN w:val="0"/>
              <w:snapToGrid w:val="0"/>
              <w:spacing w:line="240" w:lineRule="auto"/>
              <w:jc w:val="center"/>
              <w:textAlignment w:val="baseline"/>
              <w:rPr>
                <w:rFonts w:ascii="宋体" w:hAnsi="宋体" w:cs="宋体"/>
                <w:bCs/>
                <w:snapToGrid w:val="0"/>
                <w:color w:val="000000"/>
                <w:spacing w:val="6"/>
                <w:kern w:val="0"/>
                <w:sz w:val="18"/>
                <w:szCs w:val="18"/>
              </w:rPr>
            </w:pPr>
            <w:r>
              <w:rPr>
                <w:rFonts w:hint="eastAsia" w:ascii="宋体" w:hAnsi="宋体" w:cs="宋体"/>
                <w:bCs/>
                <w:snapToGrid w:val="0"/>
                <w:color w:val="000000"/>
                <w:spacing w:val="6"/>
                <w:kern w:val="0"/>
                <w:sz w:val="18"/>
                <w:szCs w:val="18"/>
              </w:rPr>
              <w:t>轻微受伤、间歇不舒服</w:t>
            </w:r>
          </w:p>
        </w:tc>
        <w:tc>
          <w:tcPr>
            <w:tcW w:w="865" w:type="pct"/>
            <w:tcMar>
              <w:top w:w="57" w:type="dxa"/>
              <w:left w:w="57" w:type="dxa"/>
              <w:bottom w:w="57" w:type="dxa"/>
              <w:right w:w="57" w:type="dxa"/>
            </w:tcMar>
            <w:vAlign w:val="center"/>
          </w:tcPr>
          <w:p w14:paraId="286BC43C">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rPr>
            </w:pPr>
            <w:r>
              <w:rPr>
                <w:rFonts w:hint="eastAsia" w:ascii="宋体" w:hAnsi="宋体" w:cs="宋体"/>
                <w:bCs/>
                <w:snapToGrid w:val="0"/>
                <w:color w:val="000000"/>
                <w:kern w:val="0"/>
                <w:sz w:val="18"/>
                <w:szCs w:val="18"/>
              </w:rPr>
              <w:t>1万以上</w:t>
            </w:r>
          </w:p>
        </w:tc>
        <w:tc>
          <w:tcPr>
            <w:tcW w:w="698" w:type="pct"/>
            <w:tcMar>
              <w:top w:w="57" w:type="dxa"/>
              <w:left w:w="57" w:type="dxa"/>
              <w:bottom w:w="57" w:type="dxa"/>
              <w:right w:w="57" w:type="dxa"/>
            </w:tcMar>
            <w:vAlign w:val="center"/>
          </w:tcPr>
          <w:p w14:paraId="04D8E33E">
            <w:pPr>
              <w:wordWrap w:val="0"/>
              <w:topLinePunct/>
              <w:autoSpaceDE w:val="0"/>
              <w:autoSpaceDN w:val="0"/>
              <w:snapToGrid w:val="0"/>
              <w:spacing w:line="240" w:lineRule="auto"/>
              <w:jc w:val="center"/>
              <w:textAlignment w:val="baseline"/>
              <w:rPr>
                <w:rFonts w:ascii="宋体" w:hAnsi="宋体" w:cs="宋体"/>
                <w:bCs/>
                <w:snapToGrid w:val="0"/>
                <w:color w:val="000000"/>
                <w:spacing w:val="7"/>
                <w:kern w:val="0"/>
                <w:sz w:val="18"/>
                <w:szCs w:val="18"/>
              </w:rPr>
            </w:pPr>
            <w:r>
              <w:rPr>
                <w:rFonts w:hint="eastAsia" w:ascii="宋体" w:hAnsi="宋体" w:cs="宋体"/>
                <w:bCs/>
                <w:snapToGrid w:val="0"/>
                <w:color w:val="000000"/>
                <w:spacing w:val="7"/>
                <w:kern w:val="0"/>
                <w:sz w:val="18"/>
                <w:szCs w:val="18"/>
              </w:rPr>
              <w:t>1套设备停工</w:t>
            </w:r>
          </w:p>
        </w:tc>
        <w:tc>
          <w:tcPr>
            <w:tcW w:w="802" w:type="pct"/>
            <w:tcMar>
              <w:top w:w="57" w:type="dxa"/>
              <w:left w:w="57" w:type="dxa"/>
              <w:bottom w:w="57" w:type="dxa"/>
              <w:right w:w="57" w:type="dxa"/>
            </w:tcMar>
            <w:vAlign w:val="center"/>
          </w:tcPr>
          <w:p w14:paraId="441631B5">
            <w:pPr>
              <w:wordWrap w:val="0"/>
              <w:topLinePunct/>
              <w:autoSpaceDE w:val="0"/>
              <w:autoSpaceDN w:val="0"/>
              <w:snapToGrid w:val="0"/>
              <w:spacing w:line="240" w:lineRule="auto"/>
              <w:jc w:val="center"/>
              <w:textAlignment w:val="baseline"/>
              <w:rPr>
                <w:rFonts w:ascii="宋体" w:hAnsi="宋体" w:cs="宋体"/>
                <w:bCs/>
                <w:snapToGrid w:val="0"/>
                <w:color w:val="000000"/>
                <w:spacing w:val="6"/>
                <w:kern w:val="0"/>
                <w:sz w:val="18"/>
                <w:szCs w:val="18"/>
              </w:rPr>
            </w:pPr>
            <w:r>
              <w:rPr>
                <w:rFonts w:hint="eastAsia" w:ascii="宋体" w:hAnsi="宋体" w:cs="宋体"/>
                <w:bCs/>
                <w:snapToGrid w:val="0"/>
                <w:color w:val="000000"/>
                <w:spacing w:val="6"/>
                <w:kern w:val="0"/>
                <w:sz w:val="18"/>
                <w:szCs w:val="18"/>
              </w:rPr>
              <w:t>引人关注，不利于基本的安全卫生要求</w:t>
            </w:r>
          </w:p>
        </w:tc>
      </w:tr>
      <w:tr w14:paraId="45BBA274">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442" w:type="pct"/>
            <w:tcMar>
              <w:top w:w="57" w:type="dxa"/>
              <w:left w:w="57" w:type="dxa"/>
              <w:bottom w:w="57" w:type="dxa"/>
              <w:right w:w="57" w:type="dxa"/>
            </w:tcMar>
            <w:vAlign w:val="center"/>
          </w:tcPr>
          <w:p w14:paraId="5A415EE2">
            <w:pPr>
              <w:wordWrap w:val="0"/>
              <w:topLinePunct/>
              <w:autoSpaceDE w:val="0"/>
              <w:autoSpaceDN w:val="0"/>
              <w:snapToGrid w:val="0"/>
              <w:spacing w:line="240" w:lineRule="auto"/>
              <w:jc w:val="center"/>
              <w:textAlignment w:val="baseline"/>
              <w:rPr>
                <w:rFonts w:ascii="宋体" w:hAnsi="宋体" w:cs="宋体"/>
                <w:bCs/>
                <w:snapToGrid w:val="0"/>
                <w:color w:val="000000"/>
                <w:spacing w:val="8"/>
                <w:kern w:val="0"/>
                <w:sz w:val="18"/>
                <w:szCs w:val="18"/>
              </w:rPr>
            </w:pPr>
            <w:r>
              <w:rPr>
                <w:rFonts w:hint="eastAsia" w:ascii="宋体" w:hAnsi="宋体" w:cs="宋体"/>
                <w:bCs/>
                <w:snapToGrid w:val="0"/>
                <w:color w:val="000000"/>
                <w:spacing w:val="8"/>
                <w:kern w:val="0"/>
                <w:sz w:val="18"/>
                <w:szCs w:val="18"/>
              </w:rPr>
              <w:t>1</w:t>
            </w:r>
          </w:p>
        </w:tc>
        <w:tc>
          <w:tcPr>
            <w:tcW w:w="1064" w:type="pct"/>
            <w:tcMar>
              <w:top w:w="57" w:type="dxa"/>
              <w:left w:w="57" w:type="dxa"/>
              <w:bottom w:w="57" w:type="dxa"/>
              <w:right w:w="57" w:type="dxa"/>
            </w:tcMar>
            <w:vAlign w:val="center"/>
          </w:tcPr>
          <w:p w14:paraId="5B093FF3">
            <w:pPr>
              <w:wordWrap w:val="0"/>
              <w:topLinePunct/>
              <w:autoSpaceDE w:val="0"/>
              <w:autoSpaceDN w:val="0"/>
              <w:snapToGrid w:val="0"/>
              <w:spacing w:line="240" w:lineRule="auto"/>
              <w:jc w:val="center"/>
              <w:textAlignment w:val="baseline"/>
              <w:rPr>
                <w:rFonts w:ascii="宋体" w:hAnsi="宋体" w:cs="宋体"/>
                <w:bCs/>
                <w:snapToGrid w:val="0"/>
                <w:color w:val="000000"/>
                <w:spacing w:val="1"/>
                <w:kern w:val="0"/>
                <w:sz w:val="18"/>
                <w:szCs w:val="18"/>
              </w:rPr>
            </w:pPr>
            <w:r>
              <w:rPr>
                <w:rFonts w:hint="eastAsia" w:ascii="宋体" w:hAnsi="宋体" w:cs="宋体"/>
                <w:bCs/>
                <w:snapToGrid w:val="0"/>
                <w:color w:val="000000"/>
                <w:spacing w:val="1"/>
                <w:kern w:val="0"/>
                <w:sz w:val="18"/>
                <w:szCs w:val="18"/>
              </w:rPr>
              <w:t>完全符合</w:t>
            </w:r>
          </w:p>
        </w:tc>
        <w:tc>
          <w:tcPr>
            <w:tcW w:w="1127" w:type="pct"/>
            <w:tcMar>
              <w:top w:w="57" w:type="dxa"/>
              <w:left w:w="57" w:type="dxa"/>
              <w:bottom w:w="57" w:type="dxa"/>
              <w:right w:w="57" w:type="dxa"/>
            </w:tcMar>
            <w:vAlign w:val="center"/>
          </w:tcPr>
          <w:p w14:paraId="6A741498">
            <w:pPr>
              <w:wordWrap w:val="0"/>
              <w:topLinePunct/>
              <w:autoSpaceDE w:val="0"/>
              <w:autoSpaceDN w:val="0"/>
              <w:snapToGrid w:val="0"/>
              <w:spacing w:line="240" w:lineRule="auto"/>
              <w:jc w:val="center"/>
              <w:textAlignment w:val="baseline"/>
              <w:rPr>
                <w:rFonts w:ascii="宋体" w:hAnsi="宋体" w:cs="宋体"/>
                <w:bCs/>
                <w:snapToGrid w:val="0"/>
                <w:color w:val="000000"/>
                <w:spacing w:val="6"/>
                <w:kern w:val="0"/>
                <w:sz w:val="18"/>
                <w:szCs w:val="18"/>
              </w:rPr>
            </w:pPr>
            <w:r>
              <w:rPr>
                <w:rFonts w:hint="eastAsia" w:ascii="宋体" w:hAnsi="宋体" w:cs="宋体"/>
                <w:bCs/>
                <w:snapToGrid w:val="0"/>
                <w:color w:val="000000"/>
                <w:spacing w:val="6"/>
                <w:kern w:val="0"/>
                <w:sz w:val="18"/>
                <w:szCs w:val="18"/>
              </w:rPr>
              <w:t>无伤亡</w:t>
            </w:r>
          </w:p>
        </w:tc>
        <w:tc>
          <w:tcPr>
            <w:tcW w:w="865" w:type="pct"/>
            <w:tcMar>
              <w:top w:w="57" w:type="dxa"/>
              <w:left w:w="57" w:type="dxa"/>
              <w:bottom w:w="57" w:type="dxa"/>
              <w:right w:w="57" w:type="dxa"/>
            </w:tcMar>
            <w:vAlign w:val="center"/>
          </w:tcPr>
          <w:p w14:paraId="775337F3">
            <w:pPr>
              <w:wordWrap w:val="0"/>
              <w:topLinePunct/>
              <w:autoSpaceDE w:val="0"/>
              <w:autoSpaceDN w:val="0"/>
              <w:snapToGrid w:val="0"/>
              <w:spacing w:line="240" w:lineRule="auto"/>
              <w:jc w:val="center"/>
              <w:textAlignment w:val="baseline"/>
              <w:rPr>
                <w:rFonts w:ascii="宋体" w:hAnsi="宋体" w:cs="宋体"/>
                <w:bCs/>
                <w:snapToGrid w:val="0"/>
                <w:color w:val="000000"/>
                <w:kern w:val="0"/>
                <w:sz w:val="18"/>
                <w:szCs w:val="18"/>
              </w:rPr>
            </w:pPr>
            <w:r>
              <w:rPr>
                <w:rFonts w:hint="eastAsia" w:ascii="宋体" w:hAnsi="宋体" w:cs="宋体"/>
                <w:bCs/>
                <w:snapToGrid w:val="0"/>
                <w:color w:val="000000"/>
                <w:kern w:val="0"/>
                <w:sz w:val="18"/>
                <w:szCs w:val="18"/>
              </w:rPr>
              <w:t>1万以下</w:t>
            </w:r>
          </w:p>
        </w:tc>
        <w:tc>
          <w:tcPr>
            <w:tcW w:w="698" w:type="pct"/>
            <w:tcMar>
              <w:top w:w="57" w:type="dxa"/>
              <w:left w:w="57" w:type="dxa"/>
              <w:bottom w:w="57" w:type="dxa"/>
              <w:right w:w="57" w:type="dxa"/>
            </w:tcMar>
            <w:vAlign w:val="center"/>
          </w:tcPr>
          <w:p w14:paraId="76777202">
            <w:pPr>
              <w:wordWrap w:val="0"/>
              <w:topLinePunct/>
              <w:autoSpaceDE w:val="0"/>
              <w:autoSpaceDN w:val="0"/>
              <w:snapToGrid w:val="0"/>
              <w:spacing w:line="240" w:lineRule="auto"/>
              <w:jc w:val="center"/>
              <w:textAlignment w:val="baseline"/>
              <w:rPr>
                <w:rFonts w:ascii="宋体" w:hAnsi="宋体" w:cs="宋体"/>
                <w:bCs/>
                <w:snapToGrid w:val="0"/>
                <w:color w:val="000000"/>
                <w:spacing w:val="7"/>
                <w:kern w:val="0"/>
                <w:sz w:val="18"/>
                <w:szCs w:val="18"/>
              </w:rPr>
            </w:pPr>
            <w:r>
              <w:rPr>
                <w:rFonts w:hint="eastAsia" w:ascii="宋体" w:hAnsi="宋体" w:cs="宋体"/>
                <w:bCs/>
                <w:snapToGrid w:val="0"/>
                <w:color w:val="000000"/>
                <w:spacing w:val="7"/>
                <w:kern w:val="0"/>
                <w:sz w:val="18"/>
                <w:szCs w:val="18"/>
              </w:rPr>
              <w:t>没有停工</w:t>
            </w:r>
          </w:p>
        </w:tc>
        <w:tc>
          <w:tcPr>
            <w:tcW w:w="802" w:type="pct"/>
            <w:tcMar>
              <w:top w:w="57" w:type="dxa"/>
              <w:left w:w="57" w:type="dxa"/>
              <w:bottom w:w="57" w:type="dxa"/>
              <w:right w:w="57" w:type="dxa"/>
            </w:tcMar>
            <w:vAlign w:val="center"/>
          </w:tcPr>
          <w:p w14:paraId="77F81E66">
            <w:pPr>
              <w:wordWrap w:val="0"/>
              <w:topLinePunct/>
              <w:autoSpaceDE w:val="0"/>
              <w:autoSpaceDN w:val="0"/>
              <w:snapToGrid w:val="0"/>
              <w:spacing w:line="240" w:lineRule="auto"/>
              <w:jc w:val="center"/>
              <w:textAlignment w:val="baseline"/>
              <w:rPr>
                <w:rFonts w:ascii="宋体" w:hAnsi="宋体" w:cs="宋体"/>
                <w:bCs/>
                <w:snapToGrid w:val="0"/>
                <w:color w:val="000000"/>
                <w:spacing w:val="6"/>
                <w:kern w:val="0"/>
                <w:sz w:val="18"/>
                <w:szCs w:val="18"/>
              </w:rPr>
            </w:pPr>
            <w:r>
              <w:rPr>
                <w:rFonts w:hint="eastAsia" w:ascii="宋体" w:hAnsi="宋体" w:cs="宋体"/>
                <w:bCs/>
                <w:snapToGrid w:val="0"/>
                <w:color w:val="000000"/>
                <w:spacing w:val="6"/>
                <w:kern w:val="0"/>
                <w:sz w:val="18"/>
                <w:szCs w:val="18"/>
              </w:rPr>
              <w:t>形象没有受损</w:t>
            </w:r>
          </w:p>
        </w:tc>
      </w:tr>
      <w:bookmarkEnd w:id="119"/>
    </w:tbl>
    <w:p w14:paraId="59627A91">
      <w:pPr>
        <w:pStyle w:val="147"/>
        <w:spacing w:before="158" w:after="158"/>
      </w:pPr>
      <w:r>
        <w:rPr>
          <w:rFonts w:hint="eastAsia"/>
        </w:rPr>
        <w:t>风险等级判定准则及控制措施</w:t>
      </w:r>
    </w:p>
    <w:tbl>
      <w:tblPr>
        <w:tblStyle w:val="230"/>
        <w:tblW w:w="4998" w:type="pct"/>
        <w:jc w:val="center"/>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Layout w:type="autofit"/>
        <w:tblCellMar>
          <w:top w:w="0" w:type="dxa"/>
          <w:left w:w="0" w:type="dxa"/>
          <w:bottom w:w="0" w:type="dxa"/>
          <w:right w:w="0" w:type="dxa"/>
        </w:tblCellMar>
      </w:tblPr>
      <w:tblGrid>
        <w:gridCol w:w="1039"/>
        <w:gridCol w:w="2220"/>
        <w:gridCol w:w="926"/>
        <w:gridCol w:w="1296"/>
        <w:gridCol w:w="2838"/>
        <w:gridCol w:w="1146"/>
      </w:tblGrid>
      <w:tr w14:paraId="1D773EC3">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PrEx>
        <w:trPr>
          <w:trHeight w:val="642" w:hRule="atLeast"/>
          <w:jc w:val="center"/>
        </w:trPr>
        <w:tc>
          <w:tcPr>
            <w:tcW w:w="549" w:type="pct"/>
            <w:tcBorders>
              <w:bottom w:val="single" w:color="000000" w:sz="8" w:space="0"/>
            </w:tcBorders>
            <w:tcMar>
              <w:top w:w="57" w:type="dxa"/>
              <w:left w:w="57" w:type="dxa"/>
              <w:bottom w:w="57" w:type="dxa"/>
              <w:right w:w="57" w:type="dxa"/>
            </w:tcMar>
            <w:vAlign w:val="center"/>
          </w:tcPr>
          <w:p w14:paraId="77D31EE5">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风险值</w:t>
            </w:r>
          </w:p>
        </w:tc>
        <w:tc>
          <w:tcPr>
            <w:tcW w:w="1172" w:type="pct"/>
            <w:tcBorders>
              <w:bottom w:val="single" w:color="000000" w:sz="8" w:space="0"/>
            </w:tcBorders>
            <w:tcMar>
              <w:top w:w="57" w:type="dxa"/>
              <w:left w:w="57" w:type="dxa"/>
              <w:bottom w:w="57" w:type="dxa"/>
              <w:right w:w="57" w:type="dxa"/>
            </w:tcMar>
            <w:vAlign w:val="center"/>
          </w:tcPr>
          <w:p w14:paraId="25225929">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最终判定的风险等级</w:t>
            </w:r>
          </w:p>
        </w:tc>
        <w:tc>
          <w:tcPr>
            <w:tcW w:w="1173" w:type="pct"/>
            <w:gridSpan w:val="2"/>
            <w:tcBorders>
              <w:bottom w:val="single" w:color="000000" w:sz="8" w:space="0"/>
            </w:tcBorders>
            <w:tcMar>
              <w:top w:w="57" w:type="dxa"/>
              <w:left w:w="57" w:type="dxa"/>
              <w:bottom w:w="57" w:type="dxa"/>
              <w:right w:w="57" w:type="dxa"/>
            </w:tcMar>
            <w:vAlign w:val="center"/>
          </w:tcPr>
          <w:p w14:paraId="5CE80A7C">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原始风险等级</w:t>
            </w:r>
          </w:p>
        </w:tc>
        <w:tc>
          <w:tcPr>
            <w:tcW w:w="1498" w:type="pct"/>
            <w:tcBorders>
              <w:bottom w:val="single" w:color="000000" w:sz="8" w:space="0"/>
            </w:tcBorders>
            <w:tcMar>
              <w:top w:w="57" w:type="dxa"/>
              <w:left w:w="57" w:type="dxa"/>
              <w:bottom w:w="57" w:type="dxa"/>
              <w:right w:w="57" w:type="dxa"/>
            </w:tcMar>
            <w:vAlign w:val="center"/>
          </w:tcPr>
          <w:p w14:paraId="5B598685">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应采取的行动/控制措施</w:t>
            </w:r>
          </w:p>
        </w:tc>
        <w:tc>
          <w:tcPr>
            <w:tcW w:w="605" w:type="pct"/>
            <w:tcBorders>
              <w:bottom w:val="single" w:color="000000" w:sz="8" w:space="0"/>
            </w:tcBorders>
            <w:tcMar>
              <w:top w:w="57" w:type="dxa"/>
              <w:left w:w="57" w:type="dxa"/>
              <w:bottom w:w="57" w:type="dxa"/>
              <w:right w:w="57" w:type="dxa"/>
            </w:tcMar>
            <w:vAlign w:val="center"/>
          </w:tcPr>
          <w:p w14:paraId="69135928">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lang w:eastAsia="en-US"/>
              </w:rPr>
            </w:pPr>
            <w:r>
              <w:rPr>
                <w:rFonts w:hint="eastAsia" w:ascii="宋体" w:hAnsi="宋体" w:cs="宋体"/>
                <w:snapToGrid w:val="0"/>
                <w:color w:val="000000"/>
                <w:kern w:val="0"/>
                <w:sz w:val="18"/>
                <w:szCs w:val="18"/>
              </w:rPr>
              <w:t>实施期限</w:t>
            </w:r>
          </w:p>
        </w:tc>
      </w:tr>
      <w:tr w14:paraId="34E38E27">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04" w:hRule="atLeast"/>
          <w:jc w:val="center"/>
        </w:trPr>
        <w:tc>
          <w:tcPr>
            <w:tcW w:w="549" w:type="pct"/>
            <w:tcBorders>
              <w:top w:val="single" w:color="000000" w:sz="8" w:space="0"/>
            </w:tcBorders>
            <w:tcMar>
              <w:top w:w="57" w:type="dxa"/>
              <w:left w:w="57" w:type="dxa"/>
              <w:bottom w:w="57" w:type="dxa"/>
              <w:right w:w="57" w:type="dxa"/>
            </w:tcMar>
            <w:vAlign w:val="center"/>
          </w:tcPr>
          <w:p w14:paraId="781D8B95">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&gt;320</w:t>
            </w:r>
          </w:p>
        </w:tc>
        <w:tc>
          <w:tcPr>
            <w:tcW w:w="1172" w:type="pct"/>
            <w:tcBorders>
              <w:top w:val="single" w:color="000000" w:sz="8" w:space="0"/>
            </w:tcBorders>
            <w:tcMar>
              <w:top w:w="57" w:type="dxa"/>
              <w:left w:w="57" w:type="dxa"/>
              <w:bottom w:w="57" w:type="dxa"/>
              <w:right w:w="57" w:type="dxa"/>
            </w:tcMar>
            <w:vAlign w:val="center"/>
          </w:tcPr>
          <w:p w14:paraId="7E3FC82E">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重大风险</w:t>
            </w:r>
          </w:p>
        </w:tc>
        <w:tc>
          <w:tcPr>
            <w:tcW w:w="489" w:type="pct"/>
            <w:tcBorders>
              <w:top w:val="single" w:color="000000" w:sz="8" w:space="0"/>
            </w:tcBorders>
            <w:tcMar>
              <w:top w:w="57" w:type="dxa"/>
              <w:left w:w="57" w:type="dxa"/>
              <w:bottom w:w="57" w:type="dxa"/>
              <w:right w:w="57" w:type="dxa"/>
            </w:tcMar>
            <w:vAlign w:val="center"/>
          </w:tcPr>
          <w:p w14:paraId="6A89CE9D">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A/1级</w:t>
            </w:r>
          </w:p>
        </w:tc>
        <w:tc>
          <w:tcPr>
            <w:tcW w:w="684" w:type="pct"/>
            <w:tcBorders>
              <w:top w:val="single" w:color="000000" w:sz="8" w:space="0"/>
            </w:tcBorders>
            <w:tcMar>
              <w:top w:w="57" w:type="dxa"/>
              <w:left w:w="57" w:type="dxa"/>
              <w:bottom w:w="57" w:type="dxa"/>
              <w:right w:w="57" w:type="dxa"/>
            </w:tcMar>
            <w:vAlign w:val="center"/>
          </w:tcPr>
          <w:p w14:paraId="45655049">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极其危险</w:t>
            </w:r>
          </w:p>
        </w:tc>
        <w:tc>
          <w:tcPr>
            <w:tcW w:w="1498" w:type="pct"/>
            <w:tcBorders>
              <w:top w:val="single" w:color="000000" w:sz="8" w:space="0"/>
            </w:tcBorders>
            <w:tcMar>
              <w:top w:w="57" w:type="dxa"/>
              <w:left w:w="57" w:type="dxa"/>
              <w:bottom w:w="57" w:type="dxa"/>
              <w:right w:w="57" w:type="dxa"/>
            </w:tcMar>
            <w:vAlign w:val="center"/>
          </w:tcPr>
          <w:p w14:paraId="416A2F48">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在采取措施降低危害前，不能继续作业，对改进措施进行评估</w:t>
            </w:r>
          </w:p>
        </w:tc>
        <w:tc>
          <w:tcPr>
            <w:tcW w:w="605" w:type="pct"/>
            <w:tcBorders>
              <w:top w:val="single" w:color="000000" w:sz="8" w:space="0"/>
            </w:tcBorders>
            <w:tcMar>
              <w:top w:w="57" w:type="dxa"/>
              <w:left w:w="57" w:type="dxa"/>
              <w:bottom w:w="57" w:type="dxa"/>
              <w:right w:w="57" w:type="dxa"/>
            </w:tcMar>
            <w:vAlign w:val="center"/>
          </w:tcPr>
          <w:p w14:paraId="2FBBD5CA">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立刻</w:t>
            </w:r>
          </w:p>
        </w:tc>
      </w:tr>
      <w:tr w14:paraId="54DBDADC">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49" w:type="pct"/>
            <w:tcMar>
              <w:top w:w="57" w:type="dxa"/>
              <w:left w:w="57" w:type="dxa"/>
              <w:bottom w:w="57" w:type="dxa"/>
              <w:right w:w="57" w:type="dxa"/>
            </w:tcMar>
            <w:vAlign w:val="center"/>
          </w:tcPr>
          <w:p w14:paraId="32FE73B7">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160-320</w:t>
            </w:r>
          </w:p>
        </w:tc>
        <w:tc>
          <w:tcPr>
            <w:tcW w:w="1172" w:type="pct"/>
            <w:tcMar>
              <w:top w:w="57" w:type="dxa"/>
              <w:left w:w="57" w:type="dxa"/>
              <w:bottom w:w="57" w:type="dxa"/>
              <w:right w:w="57" w:type="dxa"/>
            </w:tcMar>
            <w:vAlign w:val="center"/>
          </w:tcPr>
          <w:p w14:paraId="088492A9">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较大风险</w:t>
            </w:r>
          </w:p>
        </w:tc>
        <w:tc>
          <w:tcPr>
            <w:tcW w:w="489" w:type="pct"/>
            <w:tcMar>
              <w:top w:w="57" w:type="dxa"/>
              <w:left w:w="57" w:type="dxa"/>
              <w:bottom w:w="57" w:type="dxa"/>
              <w:right w:w="57" w:type="dxa"/>
            </w:tcMar>
            <w:vAlign w:val="center"/>
          </w:tcPr>
          <w:p w14:paraId="79DB4EB5">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B/2级</w:t>
            </w:r>
          </w:p>
        </w:tc>
        <w:tc>
          <w:tcPr>
            <w:tcW w:w="684" w:type="pct"/>
            <w:tcMar>
              <w:top w:w="57" w:type="dxa"/>
              <w:left w:w="57" w:type="dxa"/>
              <w:bottom w:w="57" w:type="dxa"/>
              <w:right w:w="57" w:type="dxa"/>
            </w:tcMar>
            <w:vAlign w:val="center"/>
          </w:tcPr>
          <w:p w14:paraId="4D8222E0">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高度危险</w:t>
            </w:r>
          </w:p>
        </w:tc>
        <w:tc>
          <w:tcPr>
            <w:tcW w:w="1498" w:type="pct"/>
            <w:tcMar>
              <w:top w:w="57" w:type="dxa"/>
              <w:left w:w="57" w:type="dxa"/>
              <w:bottom w:w="57" w:type="dxa"/>
              <w:right w:w="57" w:type="dxa"/>
            </w:tcMar>
            <w:vAlign w:val="center"/>
          </w:tcPr>
          <w:p w14:paraId="23C59DBC">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采取紧急措施降低风险，建立控制程序，定期检查、测量及评估</w:t>
            </w:r>
          </w:p>
        </w:tc>
        <w:tc>
          <w:tcPr>
            <w:tcW w:w="605" w:type="pct"/>
            <w:tcMar>
              <w:top w:w="57" w:type="dxa"/>
              <w:left w:w="57" w:type="dxa"/>
              <w:bottom w:w="57" w:type="dxa"/>
              <w:right w:w="57" w:type="dxa"/>
            </w:tcMar>
            <w:vAlign w:val="center"/>
          </w:tcPr>
          <w:p w14:paraId="31BDCFBC">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立即或近期整改</w:t>
            </w:r>
          </w:p>
        </w:tc>
      </w:tr>
      <w:tr w14:paraId="36E9D78A">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124" w:hRule="atLeast"/>
          <w:jc w:val="center"/>
        </w:trPr>
        <w:tc>
          <w:tcPr>
            <w:tcW w:w="549" w:type="pct"/>
            <w:tcMar>
              <w:top w:w="57" w:type="dxa"/>
              <w:left w:w="57" w:type="dxa"/>
              <w:bottom w:w="57" w:type="dxa"/>
              <w:right w:w="57" w:type="dxa"/>
            </w:tcMar>
            <w:vAlign w:val="center"/>
          </w:tcPr>
          <w:p w14:paraId="487F42B8">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70-160</w:t>
            </w:r>
          </w:p>
        </w:tc>
        <w:tc>
          <w:tcPr>
            <w:tcW w:w="1172" w:type="pct"/>
            <w:tcMar>
              <w:top w:w="57" w:type="dxa"/>
              <w:left w:w="57" w:type="dxa"/>
              <w:bottom w:w="57" w:type="dxa"/>
              <w:right w:w="57" w:type="dxa"/>
            </w:tcMar>
            <w:vAlign w:val="center"/>
          </w:tcPr>
          <w:p w14:paraId="4CD0341F">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一般风险</w:t>
            </w:r>
          </w:p>
        </w:tc>
        <w:tc>
          <w:tcPr>
            <w:tcW w:w="489" w:type="pct"/>
            <w:tcMar>
              <w:top w:w="57" w:type="dxa"/>
              <w:left w:w="57" w:type="dxa"/>
              <w:bottom w:w="57" w:type="dxa"/>
              <w:right w:w="57" w:type="dxa"/>
            </w:tcMar>
            <w:vAlign w:val="center"/>
          </w:tcPr>
          <w:p w14:paraId="3C942F60">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C/3级</w:t>
            </w:r>
          </w:p>
        </w:tc>
        <w:tc>
          <w:tcPr>
            <w:tcW w:w="684" w:type="pct"/>
            <w:tcMar>
              <w:top w:w="57" w:type="dxa"/>
              <w:left w:w="57" w:type="dxa"/>
              <w:bottom w:w="57" w:type="dxa"/>
              <w:right w:w="57" w:type="dxa"/>
            </w:tcMar>
            <w:vAlign w:val="center"/>
          </w:tcPr>
          <w:p w14:paraId="62411484">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显著危险</w:t>
            </w:r>
          </w:p>
        </w:tc>
        <w:tc>
          <w:tcPr>
            <w:tcW w:w="1498" w:type="pct"/>
            <w:tcMar>
              <w:top w:w="57" w:type="dxa"/>
              <w:left w:w="57" w:type="dxa"/>
              <w:bottom w:w="57" w:type="dxa"/>
              <w:right w:w="57" w:type="dxa"/>
            </w:tcMar>
            <w:vAlign w:val="center"/>
          </w:tcPr>
          <w:p w14:paraId="7E30F88A">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可考虑建立目标、建立操作规程，加强培训及沟通</w:t>
            </w:r>
          </w:p>
        </w:tc>
        <w:tc>
          <w:tcPr>
            <w:tcW w:w="605" w:type="pct"/>
            <w:tcMar>
              <w:top w:w="57" w:type="dxa"/>
              <w:left w:w="57" w:type="dxa"/>
              <w:bottom w:w="57" w:type="dxa"/>
              <w:right w:w="57" w:type="dxa"/>
            </w:tcMar>
            <w:vAlign w:val="center"/>
          </w:tcPr>
          <w:p w14:paraId="0EB2760B">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2年内治理</w:t>
            </w:r>
          </w:p>
        </w:tc>
      </w:tr>
      <w:tr w14:paraId="22F70C62">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217" w:hRule="atLeast"/>
          <w:jc w:val="center"/>
        </w:trPr>
        <w:tc>
          <w:tcPr>
            <w:tcW w:w="549" w:type="pct"/>
            <w:tcMar>
              <w:top w:w="57" w:type="dxa"/>
              <w:left w:w="57" w:type="dxa"/>
              <w:bottom w:w="57" w:type="dxa"/>
              <w:right w:w="57" w:type="dxa"/>
            </w:tcMar>
            <w:vAlign w:val="center"/>
          </w:tcPr>
          <w:p w14:paraId="0F2822D9">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20-70</w:t>
            </w:r>
          </w:p>
        </w:tc>
        <w:tc>
          <w:tcPr>
            <w:tcW w:w="1172" w:type="pct"/>
            <w:tcMar>
              <w:top w:w="57" w:type="dxa"/>
              <w:left w:w="57" w:type="dxa"/>
              <w:bottom w:w="57" w:type="dxa"/>
              <w:right w:w="57" w:type="dxa"/>
            </w:tcMar>
            <w:vAlign w:val="center"/>
          </w:tcPr>
          <w:p w14:paraId="00D94FE4">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低风险</w:t>
            </w:r>
          </w:p>
        </w:tc>
        <w:tc>
          <w:tcPr>
            <w:tcW w:w="489" w:type="pct"/>
            <w:tcMar>
              <w:top w:w="57" w:type="dxa"/>
              <w:left w:w="57" w:type="dxa"/>
              <w:bottom w:w="57" w:type="dxa"/>
              <w:right w:w="57" w:type="dxa"/>
            </w:tcMar>
            <w:vAlign w:val="center"/>
          </w:tcPr>
          <w:p w14:paraId="13A5D838">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D/4级</w:t>
            </w:r>
          </w:p>
        </w:tc>
        <w:tc>
          <w:tcPr>
            <w:tcW w:w="684" w:type="pct"/>
            <w:tcMar>
              <w:top w:w="57" w:type="dxa"/>
              <w:left w:w="57" w:type="dxa"/>
              <w:bottom w:w="57" w:type="dxa"/>
              <w:right w:w="57" w:type="dxa"/>
            </w:tcMar>
            <w:vAlign w:val="center"/>
          </w:tcPr>
          <w:p w14:paraId="34C0D335">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轻度危险</w:t>
            </w:r>
          </w:p>
        </w:tc>
        <w:tc>
          <w:tcPr>
            <w:tcW w:w="1498" w:type="pct"/>
            <w:tcMar>
              <w:top w:w="57" w:type="dxa"/>
              <w:left w:w="57" w:type="dxa"/>
              <w:bottom w:w="57" w:type="dxa"/>
              <w:right w:w="57" w:type="dxa"/>
            </w:tcMar>
            <w:vAlign w:val="center"/>
          </w:tcPr>
          <w:p w14:paraId="4E9B3F6E">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可考虑建立操作规程、作业指导书，但需定期检查</w:t>
            </w:r>
          </w:p>
        </w:tc>
        <w:tc>
          <w:tcPr>
            <w:tcW w:w="605" w:type="pct"/>
            <w:tcMar>
              <w:top w:w="57" w:type="dxa"/>
              <w:left w:w="57" w:type="dxa"/>
              <w:bottom w:w="57" w:type="dxa"/>
              <w:right w:w="57" w:type="dxa"/>
            </w:tcMar>
            <w:vAlign w:val="center"/>
          </w:tcPr>
          <w:p w14:paraId="43412A47">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有条件、有经费时治理</w:t>
            </w:r>
          </w:p>
        </w:tc>
      </w:tr>
      <w:tr w14:paraId="3BF724D8">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49" w:type="pct"/>
            <w:tcMar>
              <w:top w:w="57" w:type="dxa"/>
              <w:left w:w="57" w:type="dxa"/>
              <w:bottom w:w="57" w:type="dxa"/>
              <w:right w:w="57" w:type="dxa"/>
            </w:tcMar>
            <w:vAlign w:val="center"/>
          </w:tcPr>
          <w:p w14:paraId="15A4BE61">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&lt;20</w:t>
            </w:r>
          </w:p>
        </w:tc>
        <w:tc>
          <w:tcPr>
            <w:tcW w:w="1172" w:type="pct"/>
            <w:tcMar>
              <w:top w:w="57" w:type="dxa"/>
              <w:left w:w="57" w:type="dxa"/>
              <w:bottom w:w="57" w:type="dxa"/>
              <w:right w:w="57" w:type="dxa"/>
            </w:tcMar>
            <w:vAlign w:val="center"/>
          </w:tcPr>
          <w:p w14:paraId="1DC5CE46">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低风险</w:t>
            </w:r>
          </w:p>
        </w:tc>
        <w:tc>
          <w:tcPr>
            <w:tcW w:w="489" w:type="pct"/>
            <w:tcMar>
              <w:top w:w="57" w:type="dxa"/>
              <w:left w:w="57" w:type="dxa"/>
              <w:bottom w:w="57" w:type="dxa"/>
              <w:right w:w="57" w:type="dxa"/>
            </w:tcMar>
            <w:vAlign w:val="center"/>
          </w:tcPr>
          <w:p w14:paraId="1E8E7875">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E/5级</w:t>
            </w:r>
          </w:p>
        </w:tc>
        <w:tc>
          <w:tcPr>
            <w:tcW w:w="684" w:type="pct"/>
            <w:tcMar>
              <w:top w:w="57" w:type="dxa"/>
              <w:left w:w="57" w:type="dxa"/>
              <w:bottom w:w="57" w:type="dxa"/>
              <w:right w:w="57" w:type="dxa"/>
            </w:tcMar>
            <w:vAlign w:val="center"/>
          </w:tcPr>
          <w:p w14:paraId="28D6B497">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稍有危险</w:t>
            </w:r>
          </w:p>
        </w:tc>
        <w:tc>
          <w:tcPr>
            <w:tcW w:w="1498" w:type="pct"/>
            <w:tcMar>
              <w:top w:w="57" w:type="dxa"/>
              <w:left w:w="57" w:type="dxa"/>
              <w:bottom w:w="57" w:type="dxa"/>
              <w:right w:w="57" w:type="dxa"/>
            </w:tcMar>
            <w:vAlign w:val="center"/>
          </w:tcPr>
          <w:p w14:paraId="69341986">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无需采用控制措施，但需保存记录</w:t>
            </w:r>
          </w:p>
        </w:tc>
        <w:tc>
          <w:tcPr>
            <w:tcW w:w="605" w:type="pct"/>
            <w:tcMar>
              <w:top w:w="57" w:type="dxa"/>
              <w:left w:w="57" w:type="dxa"/>
              <w:bottom w:w="57" w:type="dxa"/>
              <w:right w:w="57" w:type="dxa"/>
            </w:tcMar>
            <w:vAlign w:val="center"/>
          </w:tcPr>
          <w:p w14:paraId="258ECA34">
            <w:pPr>
              <w:widowControl/>
              <w:kinsoku w:val="0"/>
              <w:autoSpaceDE w:val="0"/>
              <w:autoSpaceDN w:val="0"/>
              <w:snapToGrid w:val="0"/>
              <w:spacing w:line="240" w:lineRule="auto"/>
              <w:jc w:val="center"/>
              <w:textAlignment w:val="baseline"/>
              <w:rPr>
                <w:rFonts w:ascii="宋体" w:hAnsi="宋体" w:cs="宋体"/>
                <w:snapToGrid w:val="0"/>
                <w:color w:val="000000"/>
                <w:kern w:val="0"/>
                <w:sz w:val="18"/>
                <w:szCs w:val="18"/>
              </w:rPr>
            </w:pPr>
            <w:r>
              <w:rPr>
                <w:rFonts w:hint="eastAsia" w:ascii="宋体" w:hAnsi="宋体" w:cs="宋体"/>
                <w:snapToGrid w:val="0"/>
                <w:color w:val="000000"/>
                <w:kern w:val="0"/>
                <w:sz w:val="18"/>
                <w:szCs w:val="18"/>
              </w:rPr>
              <w:t>—</w:t>
            </w:r>
          </w:p>
        </w:tc>
      </w:tr>
    </w:tbl>
    <w:p w14:paraId="31F4FFEC">
      <w:pPr>
        <w:pStyle w:val="51"/>
        <w:ind w:firstLine="420"/>
      </w:pPr>
    </w:p>
    <w:p w14:paraId="41FDBDED">
      <w:pPr>
        <w:pStyle w:val="51"/>
        <w:ind w:firstLine="420"/>
      </w:pPr>
    </w:p>
    <w:p w14:paraId="0BF38E6D">
      <w:pPr>
        <w:pStyle w:val="51"/>
        <w:ind w:firstLine="420"/>
      </w:pPr>
    </w:p>
    <w:p w14:paraId="159CA3FF">
      <w:pPr>
        <w:pStyle w:val="51"/>
        <w:ind w:firstLine="420"/>
        <w:sectPr>
          <w:pgSz w:w="11906" w:h="16838"/>
          <w:pgMar w:top="1928" w:right="1134" w:bottom="1134" w:left="1134" w:header="1418" w:footer="1134" w:gutter="283"/>
          <w:cols w:space="720" w:num="1"/>
          <w:formProt w:val="0"/>
          <w:docGrid w:type="lines" w:linePitch="316" w:charSpace="0"/>
        </w:sectPr>
      </w:pPr>
    </w:p>
    <w:p w14:paraId="326F2F92">
      <w:pPr>
        <w:pStyle w:val="169"/>
      </w:pPr>
    </w:p>
    <w:p w14:paraId="634059B6">
      <w:pPr>
        <w:pStyle w:val="127"/>
      </w:pPr>
    </w:p>
    <w:p w14:paraId="34F2EB8F">
      <w:pPr>
        <w:pStyle w:val="144"/>
        <w:spacing w:before="79" w:after="158"/>
      </w:pPr>
      <w:bookmarkStart w:id="120" w:name="_Toc22547"/>
      <w:bookmarkStart w:id="121" w:name="_Toc13773"/>
      <w:r>
        <w:rPr>
          <w:rFonts w:hint="eastAsia"/>
        </w:rPr>
        <w:br w:type="textWrapping"/>
      </w:r>
      <w:r>
        <w:rPr>
          <w:rFonts w:hint="eastAsia"/>
        </w:rPr>
        <w:t>（资料性）</w:t>
      </w:r>
      <w:r>
        <w:rPr>
          <w:rFonts w:hint="eastAsia"/>
        </w:rPr>
        <w:br w:type="textWrapping"/>
      </w:r>
      <w:r>
        <w:rPr>
          <w:rFonts w:hint="eastAsia"/>
        </w:rPr>
        <w:t>安全风险分级对照</w:t>
      </w:r>
      <w:bookmarkEnd w:id="120"/>
      <w:bookmarkEnd w:id="121"/>
    </w:p>
    <w:p w14:paraId="3709FD2D">
      <w:pPr>
        <w:pStyle w:val="147"/>
        <w:spacing w:before="158" w:after="158"/>
      </w:pPr>
      <w:r>
        <w:rPr>
          <w:rFonts w:hint="eastAsia"/>
        </w:rPr>
        <w:t>安全风险分级对照表（LS法、LEC法）</w:t>
      </w:r>
    </w:p>
    <w:tbl>
      <w:tblPr>
        <w:tblStyle w:val="27"/>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1736"/>
        <w:gridCol w:w="850"/>
        <w:gridCol w:w="1751"/>
        <w:gridCol w:w="1458"/>
        <w:gridCol w:w="2335"/>
      </w:tblGrid>
      <w:tr w14:paraId="0A390F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751" w:type="pct"/>
            <w:vMerge w:val="restart"/>
            <w:vAlign w:val="center"/>
          </w:tcPr>
          <w:p w14:paraId="6095CE2E">
            <w:pPr>
              <w:widowControl/>
              <w:adjustRightInd/>
              <w:spacing w:line="240" w:lineRule="auto"/>
              <w:jc w:val="center"/>
              <w:rPr>
                <w:rFonts w:ascii="宋体" w:hAnsi="宋体" w:cs="宋体"/>
                <w:sz w:val="18"/>
                <w:szCs w:val="18"/>
              </w:rPr>
            </w:pPr>
            <w:r>
              <w:rPr>
                <w:rFonts w:hint="eastAsia" w:ascii="宋体" w:hAnsi="宋体" w:cs="宋体"/>
                <w:sz w:val="18"/>
                <w:szCs w:val="18"/>
              </w:rPr>
              <w:t>风险等级</w:t>
            </w:r>
          </w:p>
        </w:tc>
        <w:tc>
          <w:tcPr>
            <w:tcW w:w="907" w:type="pct"/>
            <w:vMerge w:val="restart"/>
            <w:vAlign w:val="center"/>
          </w:tcPr>
          <w:p w14:paraId="3D5AD9BA">
            <w:pPr>
              <w:widowControl/>
              <w:adjustRightInd/>
              <w:spacing w:line="240" w:lineRule="auto"/>
              <w:jc w:val="center"/>
              <w:rPr>
                <w:rFonts w:ascii="宋体" w:hAnsi="宋体" w:cs="宋体"/>
                <w:sz w:val="18"/>
                <w:szCs w:val="18"/>
              </w:rPr>
            </w:pPr>
            <w:r>
              <w:rPr>
                <w:rFonts w:hint="eastAsia" w:ascii="宋体" w:hAnsi="宋体" w:cs="宋体"/>
                <w:sz w:val="18"/>
                <w:szCs w:val="18"/>
              </w:rPr>
              <w:t>可接受水平</w:t>
            </w:r>
          </w:p>
        </w:tc>
        <w:tc>
          <w:tcPr>
            <w:tcW w:w="444" w:type="pct"/>
            <w:vMerge w:val="restart"/>
            <w:vAlign w:val="center"/>
          </w:tcPr>
          <w:p w14:paraId="162339DE">
            <w:pPr>
              <w:widowControl/>
              <w:adjustRightInd/>
              <w:spacing w:line="240" w:lineRule="auto"/>
              <w:jc w:val="center"/>
              <w:rPr>
                <w:rFonts w:ascii="宋体" w:hAnsi="宋体" w:cs="宋体"/>
                <w:sz w:val="18"/>
                <w:szCs w:val="18"/>
              </w:rPr>
            </w:pPr>
            <w:r>
              <w:rPr>
                <w:rFonts w:hint="eastAsia" w:ascii="宋体" w:hAnsi="宋体" w:cs="宋体"/>
                <w:sz w:val="18"/>
                <w:szCs w:val="18"/>
              </w:rPr>
              <w:t>色标</w:t>
            </w:r>
          </w:p>
        </w:tc>
        <w:tc>
          <w:tcPr>
            <w:tcW w:w="2897" w:type="pct"/>
            <w:gridSpan w:val="3"/>
            <w:vAlign w:val="center"/>
          </w:tcPr>
          <w:p w14:paraId="574CD8AD">
            <w:pPr>
              <w:widowControl/>
              <w:adjustRightInd/>
              <w:spacing w:line="240" w:lineRule="auto"/>
              <w:jc w:val="center"/>
              <w:rPr>
                <w:rFonts w:ascii="宋体" w:hAnsi="宋体" w:cs="宋体"/>
                <w:sz w:val="18"/>
                <w:szCs w:val="18"/>
              </w:rPr>
            </w:pPr>
            <w:r>
              <w:rPr>
                <w:rFonts w:hint="eastAsia" w:ascii="宋体" w:hAnsi="宋体" w:cs="宋体"/>
                <w:sz w:val="18"/>
                <w:szCs w:val="18"/>
              </w:rPr>
              <w:t>风险评估结果对应等级</w:t>
            </w:r>
          </w:p>
        </w:tc>
      </w:tr>
      <w:tr w14:paraId="277BA6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1" w:type="pct"/>
            <w:vMerge w:val="continue"/>
            <w:vAlign w:val="center"/>
          </w:tcPr>
          <w:p w14:paraId="19E56A4A">
            <w:pPr>
              <w:widowControl/>
              <w:adjustRightInd/>
              <w:spacing w:line="240" w:lineRule="auto"/>
              <w:jc w:val="center"/>
              <w:rPr>
                <w:rFonts w:ascii="宋体" w:hAnsi="宋体" w:cs="宋体"/>
                <w:sz w:val="18"/>
                <w:szCs w:val="18"/>
              </w:rPr>
            </w:pPr>
          </w:p>
        </w:tc>
        <w:tc>
          <w:tcPr>
            <w:tcW w:w="907" w:type="pct"/>
            <w:vMerge w:val="continue"/>
            <w:vAlign w:val="center"/>
          </w:tcPr>
          <w:p w14:paraId="1EDDF062">
            <w:pPr>
              <w:widowControl/>
              <w:adjustRightInd/>
              <w:spacing w:line="240" w:lineRule="auto"/>
              <w:jc w:val="center"/>
              <w:rPr>
                <w:rFonts w:ascii="宋体" w:hAnsi="宋体" w:cs="宋体"/>
                <w:sz w:val="18"/>
                <w:szCs w:val="18"/>
              </w:rPr>
            </w:pPr>
          </w:p>
        </w:tc>
        <w:tc>
          <w:tcPr>
            <w:tcW w:w="444" w:type="pct"/>
            <w:vMerge w:val="continue"/>
            <w:vAlign w:val="center"/>
          </w:tcPr>
          <w:p w14:paraId="705991BE">
            <w:pPr>
              <w:widowControl/>
              <w:adjustRightInd/>
              <w:spacing w:line="240" w:lineRule="auto"/>
              <w:jc w:val="center"/>
              <w:rPr>
                <w:rFonts w:ascii="宋体" w:hAnsi="宋体" w:cs="宋体"/>
                <w:sz w:val="18"/>
                <w:szCs w:val="18"/>
              </w:rPr>
            </w:pPr>
          </w:p>
        </w:tc>
        <w:tc>
          <w:tcPr>
            <w:tcW w:w="1677" w:type="pct"/>
            <w:gridSpan w:val="2"/>
            <w:vAlign w:val="center"/>
          </w:tcPr>
          <w:p w14:paraId="6CE294EF">
            <w:pPr>
              <w:widowControl/>
              <w:adjustRightInd/>
              <w:spacing w:line="240" w:lineRule="auto"/>
              <w:jc w:val="center"/>
              <w:rPr>
                <w:rFonts w:ascii="宋体" w:hAnsi="宋体" w:cs="宋体"/>
                <w:sz w:val="18"/>
                <w:szCs w:val="18"/>
              </w:rPr>
            </w:pPr>
            <w:r>
              <w:rPr>
                <w:rFonts w:hint="eastAsia" w:ascii="宋体" w:hAnsi="宋体" w:cs="宋体"/>
                <w:sz w:val="18"/>
                <w:szCs w:val="18"/>
              </w:rPr>
              <w:t>作业条件危险性分析法</w:t>
            </w:r>
          </w:p>
        </w:tc>
        <w:tc>
          <w:tcPr>
            <w:tcW w:w="1219" w:type="pct"/>
            <w:vMerge w:val="restart"/>
            <w:vAlign w:val="center"/>
          </w:tcPr>
          <w:p w14:paraId="5BB96202">
            <w:pPr>
              <w:widowControl/>
              <w:adjustRightInd/>
              <w:spacing w:line="240" w:lineRule="auto"/>
              <w:jc w:val="center"/>
              <w:rPr>
                <w:rFonts w:ascii="宋体" w:hAnsi="宋体" w:cs="宋体"/>
                <w:sz w:val="18"/>
                <w:szCs w:val="18"/>
              </w:rPr>
            </w:pPr>
            <w:r>
              <w:rPr>
                <w:rFonts w:hint="eastAsia" w:ascii="宋体" w:hAnsi="宋体" w:cs="宋体"/>
                <w:sz w:val="18"/>
                <w:szCs w:val="18"/>
              </w:rPr>
              <w:t>风险矩阵分析法</w:t>
            </w:r>
          </w:p>
        </w:tc>
      </w:tr>
      <w:tr w14:paraId="21AFD6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1" w:type="pct"/>
            <w:vMerge w:val="continue"/>
            <w:tcBorders>
              <w:bottom w:val="single" w:color="auto" w:sz="8" w:space="0"/>
            </w:tcBorders>
            <w:vAlign w:val="center"/>
          </w:tcPr>
          <w:p w14:paraId="006292FF">
            <w:pPr>
              <w:widowControl/>
              <w:adjustRightInd/>
              <w:spacing w:line="240" w:lineRule="auto"/>
              <w:jc w:val="center"/>
              <w:rPr>
                <w:rFonts w:ascii="宋体" w:hAnsi="宋体" w:cs="宋体"/>
                <w:sz w:val="18"/>
                <w:szCs w:val="18"/>
              </w:rPr>
            </w:pPr>
          </w:p>
        </w:tc>
        <w:tc>
          <w:tcPr>
            <w:tcW w:w="907" w:type="pct"/>
            <w:vMerge w:val="continue"/>
            <w:tcBorders>
              <w:bottom w:val="single" w:color="auto" w:sz="8" w:space="0"/>
            </w:tcBorders>
            <w:vAlign w:val="center"/>
          </w:tcPr>
          <w:p w14:paraId="0B180AB0">
            <w:pPr>
              <w:widowControl/>
              <w:adjustRightInd/>
              <w:spacing w:line="240" w:lineRule="auto"/>
              <w:jc w:val="center"/>
              <w:rPr>
                <w:rFonts w:ascii="宋体" w:hAnsi="宋体" w:cs="宋体"/>
                <w:sz w:val="18"/>
                <w:szCs w:val="18"/>
              </w:rPr>
            </w:pPr>
          </w:p>
        </w:tc>
        <w:tc>
          <w:tcPr>
            <w:tcW w:w="444" w:type="pct"/>
            <w:vMerge w:val="continue"/>
            <w:tcBorders>
              <w:bottom w:val="single" w:color="auto" w:sz="8" w:space="0"/>
            </w:tcBorders>
            <w:vAlign w:val="center"/>
          </w:tcPr>
          <w:p w14:paraId="2689231C">
            <w:pPr>
              <w:widowControl/>
              <w:adjustRightInd/>
              <w:spacing w:line="240" w:lineRule="auto"/>
              <w:jc w:val="center"/>
              <w:rPr>
                <w:rFonts w:ascii="宋体" w:hAnsi="宋体" w:cs="宋体"/>
                <w:sz w:val="18"/>
                <w:szCs w:val="18"/>
              </w:rPr>
            </w:pPr>
          </w:p>
        </w:tc>
        <w:tc>
          <w:tcPr>
            <w:tcW w:w="915" w:type="pct"/>
            <w:tcBorders>
              <w:bottom w:val="single" w:color="auto" w:sz="8" w:space="0"/>
            </w:tcBorders>
            <w:vAlign w:val="center"/>
          </w:tcPr>
          <w:p w14:paraId="32EDDEC2">
            <w:pPr>
              <w:widowControl/>
              <w:adjustRightInd/>
              <w:spacing w:line="240" w:lineRule="auto"/>
              <w:jc w:val="center"/>
              <w:rPr>
                <w:rFonts w:ascii="宋体" w:hAnsi="宋体" w:cs="宋体"/>
                <w:sz w:val="18"/>
                <w:szCs w:val="18"/>
              </w:rPr>
            </w:pPr>
            <w:r>
              <w:rPr>
                <w:rFonts w:hint="eastAsia" w:ascii="宋体" w:hAnsi="宋体" w:cs="宋体"/>
                <w:sz w:val="18"/>
                <w:szCs w:val="18"/>
              </w:rPr>
              <w:t>危险性分值</w:t>
            </w:r>
          </w:p>
        </w:tc>
        <w:tc>
          <w:tcPr>
            <w:tcW w:w="761" w:type="pct"/>
            <w:tcBorders>
              <w:bottom w:val="single" w:color="auto" w:sz="8" w:space="0"/>
            </w:tcBorders>
            <w:vAlign w:val="center"/>
          </w:tcPr>
          <w:p w14:paraId="4B49DD04">
            <w:pPr>
              <w:widowControl/>
              <w:adjustRightInd/>
              <w:spacing w:line="240" w:lineRule="auto"/>
              <w:jc w:val="center"/>
              <w:rPr>
                <w:rFonts w:ascii="宋体" w:hAnsi="宋体" w:cs="宋体"/>
                <w:sz w:val="18"/>
                <w:szCs w:val="18"/>
              </w:rPr>
            </w:pPr>
            <w:r>
              <w:rPr>
                <w:rFonts w:hint="eastAsia" w:ascii="宋体" w:hAnsi="宋体" w:cs="宋体"/>
                <w:sz w:val="18"/>
                <w:szCs w:val="18"/>
              </w:rPr>
              <w:t>危险程度</w:t>
            </w:r>
          </w:p>
        </w:tc>
        <w:tc>
          <w:tcPr>
            <w:tcW w:w="1219" w:type="pct"/>
            <w:vMerge w:val="continue"/>
            <w:tcBorders>
              <w:bottom w:val="single" w:color="auto" w:sz="8" w:space="0"/>
            </w:tcBorders>
            <w:vAlign w:val="center"/>
          </w:tcPr>
          <w:p w14:paraId="0499D894">
            <w:pPr>
              <w:widowControl/>
              <w:adjustRightInd/>
              <w:spacing w:line="240" w:lineRule="auto"/>
              <w:jc w:val="center"/>
              <w:rPr>
                <w:rFonts w:ascii="宋体" w:hAnsi="宋体" w:cs="宋体"/>
                <w:sz w:val="18"/>
                <w:szCs w:val="18"/>
              </w:rPr>
            </w:pPr>
          </w:p>
        </w:tc>
      </w:tr>
      <w:tr w14:paraId="7D6159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1" w:type="pct"/>
            <w:tcBorders>
              <w:top w:val="single" w:color="auto" w:sz="8" w:space="0"/>
            </w:tcBorders>
            <w:vAlign w:val="center"/>
          </w:tcPr>
          <w:p w14:paraId="6D45C400">
            <w:pPr>
              <w:widowControl/>
              <w:adjustRightInd/>
              <w:spacing w:line="240" w:lineRule="auto"/>
              <w:jc w:val="center"/>
              <w:rPr>
                <w:rFonts w:ascii="宋体" w:hAnsi="宋体" w:cs="宋体"/>
                <w:sz w:val="18"/>
                <w:szCs w:val="18"/>
              </w:rPr>
            </w:pPr>
            <w:r>
              <w:rPr>
                <w:rFonts w:hint="eastAsia" w:ascii="宋体" w:hAnsi="宋体" w:cs="宋体"/>
                <w:sz w:val="18"/>
                <w:szCs w:val="18"/>
              </w:rPr>
              <w:t>重大风险</w:t>
            </w:r>
          </w:p>
        </w:tc>
        <w:tc>
          <w:tcPr>
            <w:tcW w:w="907" w:type="pct"/>
            <w:tcBorders>
              <w:top w:val="single" w:color="auto" w:sz="8" w:space="0"/>
            </w:tcBorders>
            <w:vAlign w:val="center"/>
          </w:tcPr>
          <w:p w14:paraId="159C80A0">
            <w:pPr>
              <w:widowControl/>
              <w:adjustRightInd/>
              <w:spacing w:line="240" w:lineRule="auto"/>
              <w:jc w:val="center"/>
              <w:rPr>
                <w:rFonts w:ascii="宋体" w:hAnsi="宋体" w:cs="宋体"/>
                <w:sz w:val="18"/>
                <w:szCs w:val="18"/>
              </w:rPr>
            </w:pPr>
            <w:r>
              <w:rPr>
                <w:rFonts w:hint="eastAsia" w:ascii="宋体" w:hAnsi="宋体" w:cs="宋体"/>
                <w:sz w:val="18"/>
                <w:szCs w:val="18"/>
              </w:rPr>
              <w:t>不可接受</w:t>
            </w:r>
          </w:p>
        </w:tc>
        <w:tc>
          <w:tcPr>
            <w:tcW w:w="444" w:type="pct"/>
            <w:tcBorders>
              <w:top w:val="single" w:color="auto" w:sz="8" w:space="0"/>
            </w:tcBorders>
            <w:vAlign w:val="center"/>
          </w:tcPr>
          <w:p w14:paraId="4741F413">
            <w:pPr>
              <w:widowControl/>
              <w:adjustRightInd/>
              <w:spacing w:line="240" w:lineRule="auto"/>
              <w:jc w:val="center"/>
              <w:rPr>
                <w:rFonts w:ascii="宋体" w:hAnsi="宋体" w:cs="宋体"/>
                <w:sz w:val="18"/>
                <w:szCs w:val="18"/>
              </w:rPr>
            </w:pPr>
            <w:r>
              <w:rPr>
                <w:rFonts w:hint="eastAsia" w:ascii="宋体" w:hAnsi="宋体" w:cs="宋体"/>
                <w:sz w:val="18"/>
                <w:szCs w:val="18"/>
              </w:rPr>
              <w:t>红色</w:t>
            </w:r>
          </w:p>
        </w:tc>
        <w:tc>
          <w:tcPr>
            <w:tcW w:w="915" w:type="pct"/>
            <w:tcBorders>
              <w:top w:val="single" w:color="auto" w:sz="8" w:space="0"/>
            </w:tcBorders>
            <w:vAlign w:val="center"/>
          </w:tcPr>
          <w:p w14:paraId="31AC20E5">
            <w:pPr>
              <w:widowControl/>
              <w:adjustRightInd/>
              <w:spacing w:line="240" w:lineRule="auto"/>
              <w:jc w:val="center"/>
              <w:rPr>
                <w:rFonts w:ascii="宋体" w:hAnsi="宋体" w:cs="宋体"/>
                <w:sz w:val="18"/>
                <w:szCs w:val="18"/>
              </w:rPr>
            </w:pPr>
            <w:r>
              <w:rPr>
                <w:rFonts w:hint="eastAsia" w:ascii="宋体" w:hAnsi="宋体" w:cs="宋体"/>
                <w:sz w:val="18"/>
                <w:szCs w:val="18"/>
              </w:rPr>
              <w:t>＞320</w:t>
            </w:r>
          </w:p>
        </w:tc>
        <w:tc>
          <w:tcPr>
            <w:tcW w:w="761" w:type="pct"/>
            <w:tcBorders>
              <w:top w:val="single" w:color="auto" w:sz="8" w:space="0"/>
            </w:tcBorders>
            <w:vAlign w:val="center"/>
          </w:tcPr>
          <w:p w14:paraId="304442E8">
            <w:pPr>
              <w:widowControl/>
              <w:adjustRightInd/>
              <w:spacing w:line="240" w:lineRule="auto"/>
              <w:jc w:val="center"/>
              <w:rPr>
                <w:rFonts w:ascii="宋体" w:hAnsi="宋体" w:cs="宋体"/>
                <w:sz w:val="18"/>
                <w:szCs w:val="18"/>
              </w:rPr>
            </w:pPr>
            <w:r>
              <w:rPr>
                <w:rFonts w:hint="eastAsia" w:ascii="宋体" w:hAnsi="宋体" w:cs="宋体"/>
                <w:sz w:val="18"/>
                <w:szCs w:val="18"/>
              </w:rPr>
              <w:t>极其危险</w:t>
            </w:r>
          </w:p>
        </w:tc>
        <w:tc>
          <w:tcPr>
            <w:tcW w:w="1219" w:type="pct"/>
            <w:tcBorders>
              <w:top w:val="single" w:color="auto" w:sz="8" w:space="0"/>
            </w:tcBorders>
            <w:vAlign w:val="center"/>
          </w:tcPr>
          <w:p w14:paraId="556E13C1">
            <w:pPr>
              <w:widowControl/>
              <w:adjustRightInd/>
              <w:spacing w:line="240" w:lineRule="auto"/>
              <w:jc w:val="center"/>
              <w:rPr>
                <w:rFonts w:ascii="宋体" w:hAnsi="宋体" w:cs="宋体"/>
                <w:sz w:val="18"/>
                <w:szCs w:val="18"/>
              </w:rPr>
            </w:pPr>
            <w:r>
              <w:rPr>
                <w:rFonts w:hint="eastAsia" w:ascii="宋体" w:hAnsi="宋体" w:cs="宋体"/>
                <w:sz w:val="18"/>
                <w:szCs w:val="18"/>
              </w:rPr>
              <w:t>一级</w:t>
            </w:r>
          </w:p>
        </w:tc>
      </w:tr>
      <w:tr w14:paraId="3D32E0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1" w:type="pct"/>
            <w:vAlign w:val="center"/>
          </w:tcPr>
          <w:p w14:paraId="6B73041F">
            <w:pPr>
              <w:widowControl/>
              <w:adjustRightInd/>
              <w:spacing w:line="240" w:lineRule="auto"/>
              <w:jc w:val="center"/>
              <w:rPr>
                <w:rFonts w:ascii="宋体" w:hAnsi="宋体" w:cs="宋体"/>
                <w:sz w:val="18"/>
                <w:szCs w:val="18"/>
              </w:rPr>
            </w:pPr>
            <w:r>
              <w:rPr>
                <w:rFonts w:hint="eastAsia" w:ascii="宋体" w:hAnsi="宋体" w:cs="宋体"/>
                <w:sz w:val="18"/>
                <w:szCs w:val="18"/>
              </w:rPr>
              <w:t>较大风险</w:t>
            </w:r>
          </w:p>
        </w:tc>
        <w:tc>
          <w:tcPr>
            <w:tcW w:w="907" w:type="pct"/>
            <w:vAlign w:val="center"/>
          </w:tcPr>
          <w:p w14:paraId="23641A3B">
            <w:pPr>
              <w:widowControl/>
              <w:adjustRightInd/>
              <w:spacing w:line="240" w:lineRule="auto"/>
              <w:jc w:val="center"/>
              <w:rPr>
                <w:rFonts w:ascii="宋体" w:hAnsi="宋体" w:cs="宋体"/>
                <w:sz w:val="18"/>
                <w:szCs w:val="18"/>
              </w:rPr>
            </w:pPr>
            <w:r>
              <w:rPr>
                <w:rFonts w:hint="eastAsia" w:ascii="宋体" w:hAnsi="宋体" w:cs="宋体"/>
                <w:sz w:val="18"/>
                <w:szCs w:val="18"/>
              </w:rPr>
              <w:t>不可接受</w:t>
            </w:r>
          </w:p>
        </w:tc>
        <w:tc>
          <w:tcPr>
            <w:tcW w:w="444" w:type="pct"/>
            <w:vAlign w:val="center"/>
          </w:tcPr>
          <w:p w14:paraId="2389ACEA">
            <w:pPr>
              <w:widowControl/>
              <w:adjustRightInd/>
              <w:spacing w:line="240" w:lineRule="auto"/>
              <w:jc w:val="center"/>
              <w:rPr>
                <w:rFonts w:ascii="宋体" w:hAnsi="宋体" w:cs="宋体"/>
                <w:sz w:val="18"/>
                <w:szCs w:val="18"/>
              </w:rPr>
            </w:pPr>
            <w:r>
              <w:rPr>
                <w:rFonts w:hint="eastAsia" w:ascii="宋体" w:hAnsi="宋体" w:cs="宋体"/>
                <w:sz w:val="18"/>
                <w:szCs w:val="18"/>
              </w:rPr>
              <w:t>橙色</w:t>
            </w:r>
          </w:p>
        </w:tc>
        <w:tc>
          <w:tcPr>
            <w:tcW w:w="915" w:type="pct"/>
            <w:vAlign w:val="center"/>
          </w:tcPr>
          <w:p w14:paraId="3F747DBE">
            <w:pPr>
              <w:widowControl/>
              <w:adjustRightInd/>
              <w:spacing w:line="240" w:lineRule="auto"/>
              <w:jc w:val="center"/>
              <w:rPr>
                <w:rFonts w:ascii="宋体" w:hAnsi="宋体" w:cs="宋体"/>
                <w:sz w:val="18"/>
                <w:szCs w:val="18"/>
              </w:rPr>
            </w:pPr>
            <w:r>
              <w:rPr>
                <w:rFonts w:hint="eastAsia" w:ascii="宋体" w:hAnsi="宋体" w:cs="宋体"/>
                <w:sz w:val="18"/>
                <w:szCs w:val="18"/>
              </w:rPr>
              <w:t>160-320</w:t>
            </w:r>
          </w:p>
        </w:tc>
        <w:tc>
          <w:tcPr>
            <w:tcW w:w="761" w:type="pct"/>
            <w:vAlign w:val="center"/>
          </w:tcPr>
          <w:p w14:paraId="232D17C8">
            <w:pPr>
              <w:widowControl/>
              <w:adjustRightInd/>
              <w:spacing w:line="240" w:lineRule="auto"/>
              <w:jc w:val="center"/>
              <w:rPr>
                <w:rFonts w:ascii="宋体" w:hAnsi="宋体" w:cs="宋体"/>
                <w:sz w:val="18"/>
                <w:szCs w:val="18"/>
              </w:rPr>
            </w:pPr>
            <w:r>
              <w:rPr>
                <w:rFonts w:hint="eastAsia" w:ascii="宋体" w:hAnsi="宋体" w:cs="宋体"/>
                <w:sz w:val="18"/>
                <w:szCs w:val="18"/>
              </w:rPr>
              <w:t>高度危险</w:t>
            </w:r>
          </w:p>
        </w:tc>
        <w:tc>
          <w:tcPr>
            <w:tcW w:w="1219" w:type="pct"/>
            <w:vAlign w:val="center"/>
          </w:tcPr>
          <w:p w14:paraId="398E83AD">
            <w:pPr>
              <w:widowControl/>
              <w:adjustRightInd/>
              <w:spacing w:line="240" w:lineRule="auto"/>
              <w:jc w:val="center"/>
              <w:rPr>
                <w:rFonts w:ascii="宋体" w:hAnsi="宋体" w:cs="宋体"/>
                <w:sz w:val="18"/>
                <w:szCs w:val="18"/>
              </w:rPr>
            </w:pPr>
            <w:r>
              <w:rPr>
                <w:rFonts w:hint="eastAsia" w:ascii="宋体" w:hAnsi="宋体" w:cs="宋体"/>
                <w:sz w:val="18"/>
                <w:szCs w:val="18"/>
              </w:rPr>
              <w:t>二级</w:t>
            </w:r>
          </w:p>
        </w:tc>
      </w:tr>
      <w:tr w14:paraId="671BFE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1" w:type="pct"/>
            <w:vAlign w:val="center"/>
          </w:tcPr>
          <w:p w14:paraId="039335FC">
            <w:pPr>
              <w:widowControl/>
              <w:adjustRightInd/>
              <w:spacing w:line="240" w:lineRule="auto"/>
              <w:jc w:val="center"/>
              <w:rPr>
                <w:rFonts w:ascii="宋体" w:hAnsi="宋体" w:cs="宋体"/>
                <w:sz w:val="18"/>
                <w:szCs w:val="18"/>
              </w:rPr>
            </w:pPr>
            <w:r>
              <w:rPr>
                <w:rFonts w:hint="eastAsia" w:ascii="宋体" w:hAnsi="宋体" w:cs="宋体"/>
                <w:sz w:val="18"/>
                <w:szCs w:val="18"/>
              </w:rPr>
              <w:t>一般风险</w:t>
            </w:r>
          </w:p>
        </w:tc>
        <w:tc>
          <w:tcPr>
            <w:tcW w:w="907" w:type="pct"/>
            <w:vAlign w:val="center"/>
          </w:tcPr>
          <w:p w14:paraId="5264F8A1">
            <w:pPr>
              <w:widowControl/>
              <w:adjustRightInd/>
              <w:spacing w:line="240" w:lineRule="auto"/>
              <w:jc w:val="center"/>
              <w:rPr>
                <w:rFonts w:ascii="宋体" w:hAnsi="宋体" w:cs="宋体"/>
                <w:sz w:val="18"/>
                <w:szCs w:val="18"/>
              </w:rPr>
            </w:pPr>
            <w:r>
              <w:rPr>
                <w:rFonts w:hint="eastAsia" w:ascii="宋体" w:hAnsi="宋体" w:cs="宋体"/>
                <w:sz w:val="18"/>
                <w:szCs w:val="18"/>
              </w:rPr>
              <w:t>可接受</w:t>
            </w:r>
          </w:p>
        </w:tc>
        <w:tc>
          <w:tcPr>
            <w:tcW w:w="444" w:type="pct"/>
            <w:vAlign w:val="center"/>
          </w:tcPr>
          <w:p w14:paraId="5F96C520">
            <w:pPr>
              <w:widowControl/>
              <w:adjustRightInd/>
              <w:spacing w:line="240" w:lineRule="auto"/>
              <w:jc w:val="center"/>
              <w:rPr>
                <w:rFonts w:ascii="宋体" w:hAnsi="宋体" w:cs="宋体"/>
                <w:sz w:val="18"/>
                <w:szCs w:val="18"/>
              </w:rPr>
            </w:pPr>
            <w:r>
              <w:rPr>
                <w:rFonts w:hint="eastAsia" w:ascii="宋体" w:hAnsi="宋体" w:cs="宋体"/>
                <w:sz w:val="18"/>
                <w:szCs w:val="18"/>
              </w:rPr>
              <w:t>黄色</w:t>
            </w:r>
          </w:p>
        </w:tc>
        <w:tc>
          <w:tcPr>
            <w:tcW w:w="915" w:type="pct"/>
            <w:vAlign w:val="center"/>
          </w:tcPr>
          <w:p w14:paraId="2E180DA1">
            <w:pPr>
              <w:widowControl/>
              <w:adjustRightInd/>
              <w:spacing w:line="240" w:lineRule="auto"/>
              <w:jc w:val="center"/>
              <w:rPr>
                <w:rFonts w:ascii="宋体" w:hAnsi="宋体" w:cs="宋体"/>
                <w:sz w:val="18"/>
                <w:szCs w:val="18"/>
              </w:rPr>
            </w:pPr>
            <w:r>
              <w:rPr>
                <w:rFonts w:hint="eastAsia" w:ascii="宋体" w:hAnsi="宋体" w:cs="宋体"/>
                <w:sz w:val="18"/>
                <w:szCs w:val="18"/>
              </w:rPr>
              <w:t>70-160</w:t>
            </w:r>
          </w:p>
        </w:tc>
        <w:tc>
          <w:tcPr>
            <w:tcW w:w="761" w:type="pct"/>
            <w:vAlign w:val="center"/>
          </w:tcPr>
          <w:p w14:paraId="4C30982B">
            <w:pPr>
              <w:widowControl/>
              <w:adjustRightInd/>
              <w:spacing w:line="240" w:lineRule="auto"/>
              <w:jc w:val="center"/>
              <w:rPr>
                <w:rFonts w:ascii="宋体" w:hAnsi="宋体" w:cs="宋体"/>
                <w:sz w:val="18"/>
                <w:szCs w:val="18"/>
              </w:rPr>
            </w:pPr>
            <w:r>
              <w:rPr>
                <w:rFonts w:hint="eastAsia" w:ascii="宋体" w:hAnsi="宋体" w:cs="宋体"/>
                <w:sz w:val="18"/>
                <w:szCs w:val="18"/>
              </w:rPr>
              <w:t>显著危险</w:t>
            </w:r>
          </w:p>
        </w:tc>
        <w:tc>
          <w:tcPr>
            <w:tcW w:w="1219" w:type="pct"/>
            <w:vAlign w:val="center"/>
          </w:tcPr>
          <w:p w14:paraId="5696A820">
            <w:pPr>
              <w:widowControl/>
              <w:adjustRightInd/>
              <w:spacing w:line="240" w:lineRule="auto"/>
              <w:jc w:val="center"/>
              <w:rPr>
                <w:rFonts w:ascii="宋体" w:hAnsi="宋体" w:cs="宋体"/>
                <w:sz w:val="18"/>
                <w:szCs w:val="18"/>
              </w:rPr>
            </w:pPr>
            <w:r>
              <w:rPr>
                <w:rFonts w:hint="eastAsia" w:ascii="宋体" w:hAnsi="宋体" w:cs="宋体"/>
                <w:sz w:val="18"/>
                <w:szCs w:val="18"/>
              </w:rPr>
              <w:t>三级</w:t>
            </w:r>
          </w:p>
        </w:tc>
      </w:tr>
      <w:tr w14:paraId="01B50F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51" w:type="pct"/>
            <w:vMerge w:val="restart"/>
            <w:vAlign w:val="center"/>
          </w:tcPr>
          <w:p w14:paraId="2BF4D1BD">
            <w:pPr>
              <w:widowControl/>
              <w:adjustRightInd/>
              <w:spacing w:line="240" w:lineRule="auto"/>
              <w:jc w:val="center"/>
              <w:rPr>
                <w:rFonts w:ascii="宋体" w:hAnsi="宋体" w:cs="宋体"/>
                <w:sz w:val="18"/>
                <w:szCs w:val="18"/>
              </w:rPr>
            </w:pPr>
            <w:r>
              <w:rPr>
                <w:rFonts w:hint="eastAsia" w:ascii="宋体" w:hAnsi="宋体" w:cs="宋体"/>
                <w:sz w:val="18"/>
                <w:szCs w:val="18"/>
              </w:rPr>
              <w:t>低风险</w:t>
            </w:r>
          </w:p>
        </w:tc>
        <w:tc>
          <w:tcPr>
            <w:tcW w:w="907" w:type="pct"/>
            <w:vMerge w:val="restart"/>
            <w:vAlign w:val="center"/>
          </w:tcPr>
          <w:p w14:paraId="685FCD04">
            <w:pPr>
              <w:widowControl/>
              <w:adjustRightInd/>
              <w:spacing w:line="240" w:lineRule="auto"/>
              <w:jc w:val="center"/>
              <w:rPr>
                <w:rFonts w:ascii="宋体" w:hAnsi="宋体" w:cs="宋体"/>
                <w:sz w:val="18"/>
                <w:szCs w:val="18"/>
              </w:rPr>
            </w:pPr>
            <w:r>
              <w:rPr>
                <w:rFonts w:hint="eastAsia" w:ascii="宋体" w:hAnsi="宋体" w:cs="宋体"/>
                <w:sz w:val="18"/>
                <w:szCs w:val="18"/>
              </w:rPr>
              <w:t>可接受</w:t>
            </w:r>
          </w:p>
        </w:tc>
        <w:tc>
          <w:tcPr>
            <w:tcW w:w="444" w:type="pct"/>
            <w:vMerge w:val="restart"/>
            <w:vAlign w:val="center"/>
          </w:tcPr>
          <w:p w14:paraId="63934067">
            <w:pPr>
              <w:widowControl/>
              <w:adjustRightInd/>
              <w:spacing w:line="240" w:lineRule="auto"/>
              <w:jc w:val="center"/>
              <w:rPr>
                <w:rFonts w:ascii="宋体" w:hAnsi="宋体" w:cs="宋体"/>
                <w:sz w:val="18"/>
                <w:szCs w:val="18"/>
              </w:rPr>
            </w:pPr>
            <w:r>
              <w:rPr>
                <w:rFonts w:hint="eastAsia" w:ascii="宋体" w:hAnsi="宋体" w:cs="宋体"/>
                <w:sz w:val="18"/>
                <w:szCs w:val="18"/>
              </w:rPr>
              <w:t>蓝色</w:t>
            </w:r>
          </w:p>
        </w:tc>
        <w:tc>
          <w:tcPr>
            <w:tcW w:w="915" w:type="pct"/>
            <w:vAlign w:val="center"/>
          </w:tcPr>
          <w:p w14:paraId="1EABC0B9">
            <w:pPr>
              <w:widowControl/>
              <w:adjustRightInd/>
              <w:spacing w:line="240" w:lineRule="auto"/>
              <w:jc w:val="center"/>
              <w:rPr>
                <w:rFonts w:ascii="宋体" w:hAnsi="宋体" w:cs="宋体"/>
                <w:sz w:val="18"/>
                <w:szCs w:val="18"/>
              </w:rPr>
            </w:pPr>
            <w:r>
              <w:rPr>
                <w:rFonts w:hint="eastAsia" w:ascii="宋体" w:hAnsi="宋体" w:cs="宋体"/>
                <w:sz w:val="18"/>
                <w:szCs w:val="18"/>
              </w:rPr>
              <w:t>20-70</w:t>
            </w:r>
          </w:p>
        </w:tc>
        <w:tc>
          <w:tcPr>
            <w:tcW w:w="761" w:type="pct"/>
            <w:vAlign w:val="center"/>
          </w:tcPr>
          <w:p w14:paraId="12B6AB89">
            <w:pPr>
              <w:widowControl/>
              <w:adjustRightInd/>
              <w:spacing w:line="240" w:lineRule="auto"/>
              <w:jc w:val="center"/>
              <w:rPr>
                <w:rFonts w:ascii="宋体" w:hAnsi="宋体" w:cs="宋体"/>
                <w:sz w:val="18"/>
                <w:szCs w:val="18"/>
              </w:rPr>
            </w:pPr>
            <w:r>
              <w:rPr>
                <w:rFonts w:hint="eastAsia" w:ascii="宋体" w:hAnsi="宋体" w:cs="宋体"/>
                <w:sz w:val="18"/>
                <w:szCs w:val="18"/>
              </w:rPr>
              <w:t>轻度危险</w:t>
            </w:r>
          </w:p>
        </w:tc>
        <w:tc>
          <w:tcPr>
            <w:tcW w:w="1219" w:type="pct"/>
            <w:vAlign w:val="center"/>
          </w:tcPr>
          <w:p w14:paraId="00602A52">
            <w:pPr>
              <w:widowControl/>
              <w:adjustRightInd/>
              <w:spacing w:line="240" w:lineRule="auto"/>
              <w:jc w:val="center"/>
              <w:rPr>
                <w:rFonts w:ascii="宋体" w:hAnsi="宋体" w:cs="宋体"/>
                <w:sz w:val="18"/>
                <w:szCs w:val="18"/>
              </w:rPr>
            </w:pPr>
            <w:r>
              <w:rPr>
                <w:rFonts w:hint="eastAsia" w:ascii="宋体" w:hAnsi="宋体" w:cs="宋体"/>
                <w:sz w:val="18"/>
                <w:szCs w:val="18"/>
              </w:rPr>
              <w:t>四级</w:t>
            </w:r>
          </w:p>
        </w:tc>
      </w:tr>
      <w:tr w14:paraId="6C3EF1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51" w:type="pct"/>
            <w:vMerge w:val="continue"/>
            <w:vAlign w:val="center"/>
          </w:tcPr>
          <w:p w14:paraId="103A72A8">
            <w:pPr>
              <w:widowControl/>
              <w:adjustRightInd/>
              <w:spacing w:line="240" w:lineRule="auto"/>
              <w:jc w:val="center"/>
              <w:rPr>
                <w:rFonts w:ascii="宋体" w:hAnsi="宋体" w:cs="宋体"/>
                <w:sz w:val="18"/>
                <w:szCs w:val="18"/>
              </w:rPr>
            </w:pPr>
          </w:p>
        </w:tc>
        <w:tc>
          <w:tcPr>
            <w:tcW w:w="907" w:type="pct"/>
            <w:vMerge w:val="continue"/>
            <w:vAlign w:val="center"/>
          </w:tcPr>
          <w:p w14:paraId="437AED5E">
            <w:pPr>
              <w:widowControl/>
              <w:adjustRightInd/>
              <w:spacing w:line="240" w:lineRule="auto"/>
              <w:jc w:val="center"/>
              <w:rPr>
                <w:rFonts w:ascii="宋体" w:hAnsi="宋体" w:cs="宋体"/>
                <w:sz w:val="18"/>
                <w:szCs w:val="18"/>
              </w:rPr>
            </w:pPr>
          </w:p>
        </w:tc>
        <w:tc>
          <w:tcPr>
            <w:tcW w:w="444" w:type="pct"/>
            <w:vMerge w:val="continue"/>
            <w:vAlign w:val="center"/>
          </w:tcPr>
          <w:p w14:paraId="743590A8">
            <w:pPr>
              <w:widowControl/>
              <w:adjustRightInd/>
              <w:spacing w:line="240" w:lineRule="auto"/>
              <w:jc w:val="center"/>
              <w:rPr>
                <w:rFonts w:ascii="宋体" w:hAnsi="宋体" w:cs="宋体"/>
                <w:sz w:val="18"/>
                <w:szCs w:val="18"/>
              </w:rPr>
            </w:pPr>
          </w:p>
        </w:tc>
        <w:tc>
          <w:tcPr>
            <w:tcW w:w="915" w:type="pct"/>
            <w:vAlign w:val="center"/>
          </w:tcPr>
          <w:p w14:paraId="29F22A3F">
            <w:pPr>
              <w:widowControl/>
              <w:adjustRightInd/>
              <w:spacing w:line="240" w:lineRule="auto"/>
              <w:jc w:val="center"/>
              <w:rPr>
                <w:rFonts w:ascii="宋体" w:hAnsi="宋体" w:cs="宋体"/>
                <w:sz w:val="18"/>
                <w:szCs w:val="18"/>
              </w:rPr>
            </w:pPr>
            <w:r>
              <w:rPr>
                <w:rFonts w:hint="eastAsia" w:ascii="宋体" w:hAnsi="宋体" w:cs="宋体"/>
                <w:sz w:val="18"/>
                <w:szCs w:val="18"/>
              </w:rPr>
              <w:t>＜20</w:t>
            </w:r>
          </w:p>
        </w:tc>
        <w:tc>
          <w:tcPr>
            <w:tcW w:w="761" w:type="pct"/>
            <w:vAlign w:val="center"/>
          </w:tcPr>
          <w:p w14:paraId="0DDAB0C5">
            <w:pPr>
              <w:widowControl/>
              <w:adjustRightInd/>
              <w:spacing w:line="240" w:lineRule="auto"/>
              <w:jc w:val="center"/>
              <w:rPr>
                <w:rFonts w:ascii="宋体" w:hAnsi="宋体" w:cs="宋体"/>
                <w:sz w:val="18"/>
                <w:szCs w:val="18"/>
              </w:rPr>
            </w:pPr>
            <w:r>
              <w:rPr>
                <w:rFonts w:hint="eastAsia" w:ascii="宋体" w:hAnsi="宋体" w:cs="宋体"/>
                <w:sz w:val="18"/>
                <w:szCs w:val="18"/>
              </w:rPr>
              <w:t>稍微危险</w:t>
            </w:r>
          </w:p>
        </w:tc>
        <w:tc>
          <w:tcPr>
            <w:tcW w:w="1219" w:type="pct"/>
            <w:vAlign w:val="center"/>
          </w:tcPr>
          <w:p w14:paraId="5F1D0514">
            <w:pPr>
              <w:widowControl/>
              <w:adjustRightInd/>
              <w:spacing w:line="240" w:lineRule="auto"/>
              <w:jc w:val="center"/>
              <w:rPr>
                <w:rFonts w:ascii="宋体" w:hAnsi="宋体" w:cs="宋体"/>
                <w:sz w:val="18"/>
                <w:szCs w:val="18"/>
              </w:rPr>
            </w:pPr>
            <w:r>
              <w:rPr>
                <w:rFonts w:hint="eastAsia" w:ascii="宋体" w:hAnsi="宋体" w:cs="宋体"/>
                <w:sz w:val="18"/>
                <w:szCs w:val="18"/>
              </w:rPr>
              <w:t>五级</w:t>
            </w:r>
          </w:p>
        </w:tc>
      </w:tr>
    </w:tbl>
    <w:p w14:paraId="29CD51EB">
      <w:pPr>
        <w:pStyle w:val="51"/>
        <w:ind w:firstLine="420"/>
      </w:pPr>
    </w:p>
    <w:p w14:paraId="1E6D34A3">
      <w:pPr>
        <w:pStyle w:val="51"/>
        <w:ind w:firstLine="420"/>
      </w:pPr>
    </w:p>
    <w:p w14:paraId="6FEDBBED">
      <w:pPr>
        <w:pStyle w:val="51"/>
        <w:ind w:firstLine="420"/>
      </w:pPr>
    </w:p>
    <w:p w14:paraId="4B9EC3C5">
      <w:pPr>
        <w:pStyle w:val="51"/>
        <w:ind w:firstLine="420"/>
        <w:sectPr>
          <w:pgSz w:w="11906" w:h="16838"/>
          <w:pgMar w:top="1928" w:right="1134" w:bottom="1134" w:left="1134" w:header="1418" w:footer="1134" w:gutter="283"/>
          <w:cols w:space="720" w:num="1"/>
          <w:formProt w:val="0"/>
          <w:docGrid w:type="lines" w:linePitch="316" w:charSpace="0"/>
        </w:sectPr>
      </w:pPr>
    </w:p>
    <w:p w14:paraId="66406167">
      <w:pPr>
        <w:pStyle w:val="169"/>
      </w:pPr>
    </w:p>
    <w:p w14:paraId="3E49875B">
      <w:pPr>
        <w:pStyle w:val="127"/>
      </w:pPr>
    </w:p>
    <w:p w14:paraId="250EBFD6">
      <w:pPr>
        <w:pStyle w:val="144"/>
        <w:spacing w:before="79" w:after="158"/>
      </w:pPr>
      <w:bookmarkStart w:id="122" w:name="_Toc467"/>
      <w:bookmarkStart w:id="123" w:name="_Toc18524"/>
      <w:r>
        <w:rPr>
          <w:rFonts w:hint="eastAsia"/>
        </w:rPr>
        <w:br w:type="textWrapping"/>
      </w:r>
      <w:r>
        <w:rPr>
          <w:rFonts w:hint="eastAsia"/>
        </w:rPr>
        <w:t>（资料性）</w:t>
      </w:r>
      <w:r>
        <w:rPr>
          <w:rFonts w:hint="eastAsia"/>
        </w:rPr>
        <w:br w:type="textWrapping"/>
      </w:r>
      <w:r>
        <w:rPr>
          <w:rFonts w:hint="eastAsia"/>
        </w:rPr>
        <w:t>安全风险四色分布图</w:t>
      </w:r>
      <w:bookmarkEnd w:id="122"/>
      <w:bookmarkEnd w:id="123"/>
    </w:p>
    <w:p w14:paraId="7D06A944">
      <w:pPr>
        <w:adjustRightInd/>
        <w:spacing w:line="240" w:lineRule="auto"/>
        <w:jc w:val="center"/>
        <w:rPr>
          <w:rFonts w:ascii="宋体" w:hAnsi="宋体"/>
        </w:rPr>
      </w:pPr>
      <w:r>
        <w:rPr>
          <w:rFonts w:ascii="宋体" w:hAnsi="宋体"/>
        </w:rPr>
        <w:drawing>
          <wp:inline distT="0" distB="0" distL="114300" distR="114300">
            <wp:extent cx="2936875" cy="5039995"/>
            <wp:effectExtent l="0" t="0" r="8255" b="1587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35" cstate="print">
                      <a:clrChange>
                        <a:clrFrom>
                          <a:srgbClr val="FFFFFF"/>
                        </a:clrFrom>
                        <a:clrTo>
                          <a:srgbClr val="FFFFFF">
                            <a:alpha val="0"/>
                          </a:srgbClr>
                        </a:clrTo>
                      </a:clrChange>
                    </a:blip>
                    <a:stretch>
                      <a:fillRect/>
                    </a:stretch>
                  </pic:blipFill>
                  <pic:spPr>
                    <a:xfrm rot="-5400000">
                      <a:off x="0" y="0"/>
                      <a:ext cx="2936875" cy="5039995"/>
                    </a:xfrm>
                    <a:prstGeom prst="rect">
                      <a:avLst/>
                    </a:prstGeom>
                    <a:noFill/>
                    <a:ln>
                      <a:noFill/>
                    </a:ln>
                  </pic:spPr>
                </pic:pic>
              </a:graphicData>
            </a:graphic>
          </wp:inline>
        </w:drawing>
      </w:r>
    </w:p>
    <w:p w14:paraId="3C3F4B55">
      <w:pPr>
        <w:pStyle w:val="92"/>
        <w:spacing w:before="158" w:after="158"/>
      </w:pPr>
      <w:r>
        <w:rPr>
          <w:rFonts w:hint="eastAsia"/>
        </w:rPr>
        <w:t>固有风险四色分布图</w:t>
      </w:r>
    </w:p>
    <w:p w14:paraId="187E8FF8">
      <w:pPr>
        <w:adjustRightInd/>
        <w:spacing w:line="240" w:lineRule="auto"/>
        <w:jc w:val="center"/>
        <w:rPr>
          <w:rFonts w:ascii="黑体" w:hAnsi="黑体" w:eastAsia="黑体" w:cs="黑体"/>
        </w:rPr>
      </w:pPr>
      <w:r>
        <w:rPr>
          <w:rFonts w:ascii="宋体" w:hAnsi="宋体"/>
        </w:rPr>
        <w:drawing>
          <wp:inline distT="0" distB="0" distL="114300" distR="114300">
            <wp:extent cx="2959100" cy="5039995"/>
            <wp:effectExtent l="0" t="0" r="8255" b="1270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36" cstate="print">
                      <a:clrChange>
                        <a:clrFrom>
                          <a:srgbClr val="FFFFFF"/>
                        </a:clrFrom>
                        <a:clrTo>
                          <a:srgbClr val="FFFFFF">
                            <a:alpha val="0"/>
                          </a:srgbClr>
                        </a:clrTo>
                      </a:clrChange>
                    </a:blip>
                    <a:stretch>
                      <a:fillRect/>
                    </a:stretch>
                  </pic:blipFill>
                  <pic:spPr>
                    <a:xfrm rot="-5400000">
                      <a:off x="0" y="0"/>
                      <a:ext cx="2959100" cy="5039995"/>
                    </a:xfrm>
                    <a:prstGeom prst="rect">
                      <a:avLst/>
                    </a:prstGeom>
                    <a:noFill/>
                    <a:ln>
                      <a:noFill/>
                    </a:ln>
                  </pic:spPr>
                </pic:pic>
              </a:graphicData>
            </a:graphic>
          </wp:inline>
        </w:drawing>
      </w:r>
    </w:p>
    <w:p w14:paraId="13A67D4C">
      <w:pPr>
        <w:pStyle w:val="92"/>
        <w:spacing w:before="158" w:after="158"/>
        <w:sectPr>
          <w:pgSz w:w="11906" w:h="16838"/>
          <w:pgMar w:top="1928" w:right="1134" w:bottom="1134" w:left="1134" w:header="1418" w:footer="1134" w:gutter="283"/>
          <w:cols w:space="720" w:num="1"/>
          <w:formProt w:val="0"/>
          <w:docGrid w:type="lines" w:linePitch="316" w:charSpace="0"/>
        </w:sectPr>
      </w:pPr>
      <w:r>
        <w:rPr>
          <w:rFonts w:hint="eastAsia"/>
        </w:rPr>
        <w:t>残余风险四色分布图</w:t>
      </w:r>
    </w:p>
    <w:p w14:paraId="1ECCC49E">
      <w:pPr>
        <w:pStyle w:val="169"/>
      </w:pPr>
    </w:p>
    <w:p w14:paraId="3AB877D5">
      <w:pPr>
        <w:pStyle w:val="127"/>
      </w:pPr>
    </w:p>
    <w:p w14:paraId="15734DA2">
      <w:pPr>
        <w:pStyle w:val="144"/>
        <w:spacing w:before="79" w:after="158"/>
      </w:pPr>
      <w:bookmarkStart w:id="124" w:name="_Toc30424"/>
      <w:bookmarkStart w:id="125" w:name="_Toc2212"/>
      <w:r>
        <w:rPr>
          <w:rFonts w:hint="eastAsia"/>
        </w:rPr>
        <w:br w:type="textWrapping"/>
      </w:r>
      <w:r>
        <w:rPr>
          <w:rFonts w:hint="eastAsia"/>
        </w:rPr>
        <w:t>（资料性）</w:t>
      </w:r>
      <w:r>
        <w:rPr>
          <w:rFonts w:hint="eastAsia"/>
        </w:rPr>
        <w:br w:type="textWrapping"/>
      </w:r>
      <w:r>
        <w:rPr>
          <w:rFonts w:hint="eastAsia"/>
        </w:rPr>
        <w:t>安全风险公告栏</w:t>
      </w:r>
      <w:bookmarkEnd w:id="124"/>
      <w:bookmarkEnd w:id="125"/>
    </w:p>
    <w:tbl>
      <w:tblPr>
        <w:tblStyle w:val="26"/>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1496"/>
        <w:gridCol w:w="1231"/>
        <w:gridCol w:w="1323"/>
        <w:gridCol w:w="1885"/>
        <w:gridCol w:w="1907"/>
        <w:gridCol w:w="1729"/>
      </w:tblGrid>
      <w:tr w14:paraId="354D70C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397" w:hRule="atLeast"/>
        </w:trPr>
        <w:tc>
          <w:tcPr>
            <w:tcW w:w="5000" w:type="pct"/>
            <w:gridSpan w:val="6"/>
            <w:tcBorders>
              <w:bottom w:val="single" w:color="auto" w:sz="8" w:space="0"/>
            </w:tcBorders>
            <w:vAlign w:val="center"/>
          </w:tcPr>
          <w:p w14:paraId="13DEA4F4">
            <w:pPr>
              <w:widowControl/>
              <w:wordWrap w:val="0"/>
              <w:topLinePunct/>
              <w:autoSpaceDE w:val="0"/>
              <w:autoSpaceDN w:val="0"/>
              <w:snapToGrid w:val="0"/>
              <w:spacing w:line="240" w:lineRule="auto"/>
              <w:jc w:val="center"/>
              <w:textAlignment w:val="center"/>
              <w:rPr>
                <w:rFonts w:ascii="Times New Roman" w:hAnsi="Times New Roman" w:cs="宋体"/>
                <w:b/>
                <w:bCs/>
                <w:snapToGrid w:val="0"/>
                <w:color w:val="000000"/>
                <w:kern w:val="0"/>
                <w:sz w:val="18"/>
                <w:szCs w:val="18"/>
                <w:lang w:eastAsia="en-US"/>
              </w:rPr>
            </w:pPr>
            <w:r>
              <w:rPr>
                <w:rFonts w:hint="eastAsia" w:ascii="Times New Roman" w:hAnsi="Times New Roman" w:cs="宋体"/>
                <w:b/>
                <w:bCs/>
                <w:snapToGrid w:val="0"/>
                <w:color w:val="000000"/>
                <w:kern w:val="0"/>
                <w:sz w:val="18"/>
                <w:szCs w:val="18"/>
              </w:rPr>
              <w:t>安全风险公告栏</w:t>
            </w:r>
          </w:p>
        </w:tc>
      </w:tr>
      <w:tr w14:paraId="2F9ED1D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2" w:type="pct"/>
            <w:tcBorders>
              <w:top w:val="single" w:color="auto" w:sz="8" w:space="0"/>
              <w:bottom w:val="single" w:color="auto" w:sz="4" w:space="0"/>
              <w:right w:val="single" w:color="000000" w:sz="4" w:space="0"/>
            </w:tcBorders>
            <w:shd w:val="clear" w:color="auto" w:fill="DCD8C2"/>
            <w:vAlign w:val="center"/>
          </w:tcPr>
          <w:p w14:paraId="6B83130C">
            <w:pPr>
              <w:widowControl/>
              <w:wordWrap w:val="0"/>
              <w:topLinePunct/>
              <w:autoSpaceDE w:val="0"/>
              <w:autoSpaceDN w:val="0"/>
              <w:snapToGrid w:val="0"/>
              <w:spacing w:line="240" w:lineRule="auto"/>
              <w:jc w:val="center"/>
              <w:textAlignment w:val="center"/>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场所</w:t>
            </w:r>
          </w:p>
        </w:tc>
        <w:tc>
          <w:tcPr>
            <w:tcW w:w="643" w:type="pct"/>
            <w:tcBorders>
              <w:top w:val="single" w:color="auto" w:sz="8" w:space="0"/>
              <w:left w:val="single" w:color="000000" w:sz="4" w:space="0"/>
              <w:bottom w:val="single" w:color="000000" w:sz="4" w:space="0"/>
              <w:right w:val="single" w:color="000000" w:sz="4" w:space="0"/>
            </w:tcBorders>
            <w:shd w:val="clear" w:color="auto" w:fill="auto"/>
            <w:vAlign w:val="center"/>
          </w:tcPr>
          <w:p w14:paraId="4BB0196D">
            <w:pPr>
              <w:widowControl/>
              <w:wordWrap w:val="0"/>
              <w:topLinePunct/>
              <w:autoSpaceDE w:val="0"/>
              <w:autoSpaceDN w:val="0"/>
              <w:snapToGrid w:val="0"/>
              <w:spacing w:line="240" w:lineRule="auto"/>
              <w:jc w:val="center"/>
              <w:textAlignment w:val="center"/>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充装间</w:t>
            </w:r>
          </w:p>
        </w:tc>
        <w:tc>
          <w:tcPr>
            <w:tcW w:w="691" w:type="pct"/>
            <w:tcBorders>
              <w:top w:val="single" w:color="auto" w:sz="8" w:space="0"/>
              <w:left w:val="single" w:color="000000" w:sz="4" w:space="0"/>
              <w:bottom w:val="single" w:color="000000" w:sz="4" w:space="0"/>
              <w:right w:val="single" w:color="000000" w:sz="4" w:space="0"/>
            </w:tcBorders>
            <w:shd w:val="clear" w:color="auto" w:fill="EEECE1"/>
            <w:vAlign w:val="center"/>
          </w:tcPr>
          <w:p w14:paraId="55D81959">
            <w:pPr>
              <w:widowControl/>
              <w:wordWrap w:val="0"/>
              <w:topLinePunct/>
              <w:autoSpaceDE w:val="0"/>
              <w:autoSpaceDN w:val="0"/>
              <w:snapToGrid w:val="0"/>
              <w:spacing w:line="240" w:lineRule="auto"/>
              <w:jc w:val="center"/>
              <w:textAlignment w:val="center"/>
              <w:rPr>
                <w:rFonts w:ascii="Times New Roman" w:hAnsi="Times New Roman" w:cs="黑体"/>
                <w:snapToGrid w:val="0"/>
                <w:color w:val="000000"/>
                <w:kern w:val="0"/>
                <w:sz w:val="18"/>
                <w:szCs w:val="18"/>
                <w:lang w:eastAsia="en-US"/>
              </w:rPr>
            </w:pPr>
            <w:r>
              <w:rPr>
                <w:rFonts w:hint="eastAsia" w:ascii="Times New Roman" w:hAnsi="Times New Roman" w:cs="黑体"/>
                <w:snapToGrid w:val="0"/>
                <w:color w:val="000000"/>
                <w:kern w:val="0"/>
                <w:sz w:val="18"/>
                <w:szCs w:val="18"/>
              </w:rPr>
              <w:t>管控层级</w:t>
            </w:r>
          </w:p>
        </w:tc>
        <w:tc>
          <w:tcPr>
            <w:tcW w:w="985" w:type="pct"/>
            <w:tcBorders>
              <w:top w:val="single" w:color="auto" w:sz="8" w:space="0"/>
              <w:left w:val="single" w:color="000000" w:sz="4" w:space="0"/>
              <w:bottom w:val="single" w:color="000000" w:sz="4" w:space="0"/>
              <w:right w:val="single" w:color="000000" w:sz="4" w:space="0"/>
            </w:tcBorders>
            <w:shd w:val="clear" w:color="auto" w:fill="auto"/>
            <w:vAlign w:val="center"/>
          </w:tcPr>
          <w:p w14:paraId="779D24BF">
            <w:pPr>
              <w:widowControl/>
              <w:wordWrap w:val="0"/>
              <w:topLinePunct/>
              <w:autoSpaceDE w:val="0"/>
              <w:autoSpaceDN w:val="0"/>
              <w:snapToGrid w:val="0"/>
              <w:spacing w:line="240" w:lineRule="auto"/>
              <w:jc w:val="center"/>
              <w:textAlignment w:val="center"/>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部门级</w:t>
            </w:r>
          </w:p>
        </w:tc>
        <w:tc>
          <w:tcPr>
            <w:tcW w:w="996" w:type="pct"/>
            <w:tcBorders>
              <w:top w:val="single" w:color="auto" w:sz="8" w:space="0"/>
              <w:left w:val="single" w:color="000000" w:sz="4" w:space="0"/>
              <w:bottom w:val="single" w:color="000000" w:sz="4" w:space="0"/>
              <w:right w:val="single" w:color="000000" w:sz="4" w:space="0"/>
            </w:tcBorders>
            <w:shd w:val="clear" w:color="auto" w:fill="EEECE1"/>
            <w:vAlign w:val="center"/>
          </w:tcPr>
          <w:p w14:paraId="488E60A7">
            <w:pPr>
              <w:widowControl/>
              <w:wordWrap w:val="0"/>
              <w:topLinePunct/>
              <w:autoSpaceDE w:val="0"/>
              <w:autoSpaceDN w:val="0"/>
              <w:snapToGrid w:val="0"/>
              <w:spacing w:line="240" w:lineRule="auto"/>
              <w:jc w:val="center"/>
              <w:textAlignment w:val="center"/>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责任部门/责任人</w:t>
            </w:r>
          </w:p>
        </w:tc>
        <w:tc>
          <w:tcPr>
            <w:tcW w:w="901" w:type="pct"/>
            <w:tcBorders>
              <w:top w:val="single" w:color="auto" w:sz="8" w:space="0"/>
              <w:left w:val="single" w:color="000000" w:sz="4" w:space="0"/>
              <w:bottom w:val="single" w:color="000000" w:sz="4" w:space="0"/>
            </w:tcBorders>
            <w:vAlign w:val="center"/>
          </w:tcPr>
          <w:p w14:paraId="52BAF3F4">
            <w:pPr>
              <w:widowControl/>
              <w:wordWrap w:val="0"/>
              <w:topLinePunct/>
              <w:autoSpaceDE w:val="0"/>
              <w:autoSpaceDN w:val="0"/>
              <w:snapToGrid w:val="0"/>
              <w:spacing w:line="240" w:lineRule="auto"/>
              <w:jc w:val="center"/>
              <w:textAlignment w:val="center"/>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生产部/张三</w:t>
            </w:r>
          </w:p>
        </w:tc>
      </w:tr>
      <w:tr w14:paraId="2658554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2" w:type="pct"/>
            <w:tcBorders>
              <w:top w:val="single" w:color="auto" w:sz="4" w:space="0"/>
              <w:right w:val="single" w:color="000000" w:sz="4" w:space="0"/>
            </w:tcBorders>
            <w:shd w:val="clear" w:color="auto" w:fill="DCD8C2"/>
            <w:vAlign w:val="center"/>
          </w:tcPr>
          <w:p w14:paraId="1091DE6B">
            <w:pPr>
              <w:widowControl/>
              <w:wordWrap w:val="0"/>
              <w:topLinePunct/>
              <w:autoSpaceDE w:val="0"/>
              <w:autoSpaceDN w:val="0"/>
              <w:snapToGrid w:val="0"/>
              <w:spacing w:line="240" w:lineRule="auto"/>
              <w:jc w:val="center"/>
              <w:textAlignment w:val="baseline"/>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危险物质/能量</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3B163">
            <w:pPr>
              <w:widowControl/>
              <w:wordWrap w:val="0"/>
              <w:topLinePunct/>
              <w:autoSpaceDE w:val="0"/>
              <w:autoSpaceDN w:val="0"/>
              <w:snapToGrid w:val="0"/>
              <w:spacing w:line="240" w:lineRule="auto"/>
              <w:jc w:val="center"/>
              <w:textAlignment w:val="center"/>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液化石油气</w:t>
            </w:r>
          </w:p>
        </w:tc>
        <w:tc>
          <w:tcPr>
            <w:tcW w:w="985" w:type="pct"/>
            <w:tcBorders>
              <w:top w:val="single" w:color="000000" w:sz="4" w:space="0"/>
              <w:left w:val="single" w:color="000000" w:sz="4" w:space="0"/>
              <w:bottom w:val="single" w:color="000000" w:sz="4" w:space="0"/>
              <w:right w:val="single" w:color="000000" w:sz="4" w:space="0"/>
            </w:tcBorders>
            <w:shd w:val="clear" w:color="auto" w:fill="DCD8C2"/>
            <w:vAlign w:val="center"/>
          </w:tcPr>
          <w:p w14:paraId="479B2339">
            <w:pPr>
              <w:widowControl/>
              <w:wordWrap w:val="0"/>
              <w:topLinePunct/>
              <w:autoSpaceDE w:val="0"/>
              <w:autoSpaceDN w:val="0"/>
              <w:snapToGrid w:val="0"/>
              <w:spacing w:line="240" w:lineRule="auto"/>
              <w:jc w:val="center"/>
              <w:textAlignment w:val="baseline"/>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主要风险类型</w:t>
            </w:r>
          </w:p>
        </w:tc>
        <w:tc>
          <w:tcPr>
            <w:tcW w:w="1897" w:type="pct"/>
            <w:gridSpan w:val="2"/>
            <w:tcBorders>
              <w:top w:val="single" w:color="000000" w:sz="4" w:space="0"/>
              <w:left w:val="single" w:color="000000" w:sz="4" w:space="0"/>
              <w:bottom w:val="single" w:color="000000" w:sz="4" w:space="0"/>
            </w:tcBorders>
            <w:vAlign w:val="center"/>
          </w:tcPr>
          <w:p w14:paraId="45BC62CA">
            <w:pPr>
              <w:widowControl/>
              <w:wordWrap w:val="0"/>
              <w:topLinePunct/>
              <w:autoSpaceDE w:val="0"/>
              <w:autoSpaceDN w:val="0"/>
              <w:snapToGrid w:val="0"/>
              <w:spacing w:line="240" w:lineRule="auto"/>
              <w:jc w:val="center"/>
              <w:textAlignment w:val="center"/>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火灾、其他爆炸、容器爆炸、中毒和窒息</w:t>
            </w:r>
          </w:p>
        </w:tc>
      </w:tr>
      <w:tr w14:paraId="754F5CB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2" w:type="pct"/>
            <w:tcBorders>
              <w:top w:val="single" w:color="auto" w:sz="4" w:space="0"/>
              <w:right w:val="single" w:color="000000" w:sz="4" w:space="0"/>
            </w:tcBorders>
            <w:shd w:val="clear" w:color="auto" w:fill="auto"/>
            <w:vAlign w:val="center"/>
          </w:tcPr>
          <w:p w14:paraId="234DED07">
            <w:pPr>
              <w:widowControl/>
              <w:wordWrap w:val="0"/>
              <w:topLinePunct/>
              <w:autoSpaceDE w:val="0"/>
              <w:autoSpaceDN w:val="0"/>
              <w:snapToGrid w:val="0"/>
              <w:spacing w:line="240" w:lineRule="auto"/>
              <w:jc w:val="center"/>
              <w:textAlignment w:val="baseline"/>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液化石油气</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51BF1">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爆炸极限：1.5%~9.5%</w:t>
            </w:r>
          </w:p>
        </w:tc>
        <w:tc>
          <w:tcPr>
            <w:tcW w:w="985" w:type="pct"/>
            <w:tcBorders>
              <w:top w:val="single" w:color="000000" w:sz="4" w:space="0"/>
              <w:left w:val="single" w:color="000000" w:sz="4" w:space="0"/>
              <w:bottom w:val="single" w:color="000000" w:sz="4" w:space="0"/>
              <w:right w:val="single" w:color="000000" w:sz="4" w:space="0"/>
            </w:tcBorders>
            <w:shd w:val="clear" w:color="auto" w:fill="DCD8C2"/>
            <w:vAlign w:val="center"/>
          </w:tcPr>
          <w:p w14:paraId="4E9AF5A9">
            <w:pPr>
              <w:widowControl/>
              <w:wordWrap w:val="0"/>
              <w:topLinePunct/>
              <w:autoSpaceDE w:val="0"/>
              <w:autoSpaceDN w:val="0"/>
              <w:snapToGrid w:val="0"/>
              <w:spacing w:line="240" w:lineRule="auto"/>
              <w:jc w:val="center"/>
              <w:textAlignment w:val="center"/>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固有风险等级</w:t>
            </w:r>
          </w:p>
        </w:tc>
        <w:tc>
          <w:tcPr>
            <w:tcW w:w="1897" w:type="pct"/>
            <w:gridSpan w:val="2"/>
            <w:tcBorders>
              <w:top w:val="single" w:color="000000" w:sz="4" w:space="0"/>
              <w:left w:val="single" w:color="000000" w:sz="4" w:space="0"/>
              <w:bottom w:val="single" w:color="000000" w:sz="4" w:space="0"/>
            </w:tcBorders>
            <w:shd w:val="clear" w:color="auto" w:fill="FFC000"/>
            <w:vAlign w:val="center"/>
          </w:tcPr>
          <w:p w14:paraId="6616FAE7">
            <w:pPr>
              <w:widowControl/>
              <w:tabs>
                <w:tab w:val="left" w:pos="2170"/>
                <w:tab w:val="center" w:pos="5922"/>
                <w:tab w:val="left" w:pos="9220"/>
              </w:tabs>
              <w:wordWrap w:val="0"/>
              <w:topLinePunct/>
              <w:autoSpaceDE w:val="0"/>
              <w:autoSpaceDN w:val="0"/>
              <w:snapToGrid w:val="0"/>
              <w:spacing w:line="240" w:lineRule="auto"/>
              <w:jc w:val="center"/>
              <w:textAlignment w:val="center"/>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较大</w:t>
            </w:r>
            <w:r>
              <w:rPr>
                <w:rFonts w:hint="eastAsia" w:ascii="Times New Roman" w:hAnsi="Times New Roman" w:cs="黑体"/>
                <w:snapToGrid w:val="0"/>
                <w:color w:val="000000"/>
                <w:kern w:val="0"/>
                <w:sz w:val="18"/>
                <w:szCs w:val="18"/>
                <w:lang w:eastAsia="en-US"/>
              </w:rPr>
              <w:t>风险</w:t>
            </w:r>
          </w:p>
        </w:tc>
      </w:tr>
      <w:tr w14:paraId="072388E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2" w:type="pct"/>
            <w:tcBorders>
              <w:top w:val="single" w:color="000000" w:sz="4" w:space="0"/>
              <w:bottom w:val="single" w:color="000000" w:sz="4" w:space="0"/>
              <w:right w:val="single" w:color="000000" w:sz="4" w:space="0"/>
            </w:tcBorders>
            <w:shd w:val="clear" w:color="auto" w:fill="auto"/>
            <w:vAlign w:val="center"/>
          </w:tcPr>
          <w:p w14:paraId="6A08A925">
            <w:pPr>
              <w:widowControl/>
              <w:wordWrap w:val="0"/>
              <w:topLinePunct/>
              <w:autoSpaceDE w:val="0"/>
              <w:autoSpaceDN w:val="0"/>
              <w:snapToGrid w:val="0"/>
              <w:spacing w:line="240" w:lineRule="auto"/>
              <w:jc w:val="center"/>
              <w:textAlignment w:val="baseline"/>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氧气</w:t>
            </w:r>
          </w:p>
        </w:tc>
        <w:tc>
          <w:tcPr>
            <w:tcW w:w="13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03500">
            <w:pPr>
              <w:widowControl/>
              <w:wordWrap w:val="0"/>
              <w:topLinePunct/>
              <w:autoSpaceDE w:val="0"/>
              <w:autoSpaceDN w:val="0"/>
              <w:snapToGrid w:val="0"/>
              <w:spacing w:line="240" w:lineRule="auto"/>
              <w:textAlignment w:val="center"/>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安全范围：19.5%~23.5%</w:t>
            </w:r>
          </w:p>
        </w:tc>
        <w:tc>
          <w:tcPr>
            <w:tcW w:w="985" w:type="pct"/>
            <w:tcBorders>
              <w:top w:val="single" w:color="000000" w:sz="4" w:space="0"/>
              <w:left w:val="single" w:color="000000" w:sz="4" w:space="0"/>
              <w:bottom w:val="single" w:color="000000" w:sz="4" w:space="0"/>
              <w:right w:val="single" w:color="000000" w:sz="4" w:space="0"/>
            </w:tcBorders>
            <w:shd w:val="clear" w:color="auto" w:fill="DCD8C2"/>
            <w:vAlign w:val="center"/>
          </w:tcPr>
          <w:p w14:paraId="5E9ACF5B">
            <w:pPr>
              <w:widowControl/>
              <w:wordWrap w:val="0"/>
              <w:topLinePunct/>
              <w:autoSpaceDE w:val="0"/>
              <w:autoSpaceDN w:val="0"/>
              <w:snapToGrid w:val="0"/>
              <w:spacing w:line="240" w:lineRule="auto"/>
              <w:jc w:val="center"/>
              <w:textAlignment w:val="center"/>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残余风险等级</w:t>
            </w:r>
          </w:p>
        </w:tc>
        <w:tc>
          <w:tcPr>
            <w:tcW w:w="1897" w:type="pct"/>
            <w:gridSpan w:val="2"/>
            <w:tcBorders>
              <w:top w:val="single" w:color="000000" w:sz="4" w:space="0"/>
              <w:left w:val="single" w:color="000000" w:sz="4" w:space="0"/>
              <w:bottom w:val="single" w:color="000000" w:sz="4" w:space="0"/>
            </w:tcBorders>
            <w:shd w:val="clear" w:color="auto" w:fill="FFFF00"/>
            <w:vAlign w:val="center"/>
          </w:tcPr>
          <w:p w14:paraId="733D8625">
            <w:pPr>
              <w:widowControl/>
              <w:tabs>
                <w:tab w:val="left" w:pos="2170"/>
                <w:tab w:val="center" w:pos="5922"/>
                <w:tab w:val="left" w:pos="9220"/>
              </w:tabs>
              <w:wordWrap w:val="0"/>
              <w:topLinePunct/>
              <w:autoSpaceDE w:val="0"/>
              <w:autoSpaceDN w:val="0"/>
              <w:snapToGrid w:val="0"/>
              <w:spacing w:line="240" w:lineRule="auto"/>
              <w:jc w:val="center"/>
              <w:textAlignment w:val="center"/>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一般风险</w:t>
            </w:r>
          </w:p>
        </w:tc>
      </w:tr>
      <w:tr w14:paraId="139FF83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16" w:type="pct"/>
            <w:gridSpan w:val="3"/>
            <w:tcBorders>
              <w:top w:val="single" w:color="000000" w:sz="4" w:space="0"/>
              <w:bottom w:val="single" w:color="auto" w:sz="4" w:space="0"/>
              <w:right w:val="single" w:color="000000" w:sz="4" w:space="0"/>
            </w:tcBorders>
            <w:shd w:val="clear" w:color="auto" w:fill="DCD8C2"/>
            <w:vAlign w:val="center"/>
          </w:tcPr>
          <w:p w14:paraId="445E842F">
            <w:pPr>
              <w:widowControl/>
              <w:wordWrap w:val="0"/>
              <w:topLinePunct/>
              <w:autoSpaceDE w:val="0"/>
              <w:autoSpaceDN w:val="0"/>
              <w:snapToGrid w:val="0"/>
              <w:spacing w:line="240" w:lineRule="auto"/>
              <w:jc w:val="center"/>
              <w:textAlignment w:val="center"/>
              <w:rPr>
                <w:rFonts w:ascii="Times New Roman" w:hAnsi="Times New Roman" w:cs="宋体"/>
                <w:snapToGrid w:val="0"/>
                <w:color w:val="000000"/>
                <w:kern w:val="0"/>
                <w:sz w:val="18"/>
                <w:szCs w:val="18"/>
                <w:lang w:eastAsia="en-US"/>
              </w:rPr>
            </w:pPr>
            <w:r>
              <w:rPr>
                <w:rFonts w:hint="eastAsia" w:ascii="Times New Roman" w:hAnsi="Times New Roman" w:cs="宋体"/>
                <w:snapToGrid w:val="0"/>
                <w:color w:val="000000"/>
                <w:kern w:val="0"/>
                <w:sz w:val="18"/>
                <w:szCs w:val="18"/>
              </w:rPr>
              <w:t>安全警示标识</w:t>
            </w:r>
          </w:p>
        </w:tc>
        <w:tc>
          <w:tcPr>
            <w:tcW w:w="2883" w:type="pct"/>
            <w:gridSpan w:val="3"/>
            <w:tcBorders>
              <w:top w:val="single" w:color="auto" w:sz="4" w:space="0"/>
              <w:left w:val="single" w:color="000000" w:sz="4" w:space="0"/>
              <w:bottom w:val="single" w:color="auto" w:sz="4" w:space="0"/>
            </w:tcBorders>
            <w:shd w:val="clear" w:color="auto" w:fill="DCD8C2"/>
            <w:vAlign w:val="center"/>
          </w:tcPr>
          <w:p w14:paraId="444DA4DC">
            <w:pPr>
              <w:widowControl/>
              <w:wordWrap w:val="0"/>
              <w:topLinePunct/>
              <w:autoSpaceDE w:val="0"/>
              <w:autoSpaceDN w:val="0"/>
              <w:snapToGrid w:val="0"/>
              <w:spacing w:line="240" w:lineRule="auto"/>
              <w:jc w:val="center"/>
              <w:textAlignment w:val="center"/>
              <w:rPr>
                <w:rFonts w:ascii="Times New Roman" w:hAnsi="Times New Roman" w:cs="宋体"/>
                <w:snapToGrid w:val="0"/>
                <w:color w:val="000000"/>
                <w:kern w:val="0"/>
                <w:sz w:val="18"/>
                <w:szCs w:val="18"/>
              </w:rPr>
            </w:pPr>
            <w:r>
              <w:rPr>
                <w:rFonts w:hint="eastAsia" w:ascii="Times New Roman" w:hAnsi="Times New Roman" w:cs="宋体"/>
                <w:snapToGrid w:val="0"/>
                <w:color w:val="000000"/>
                <w:kern w:val="0"/>
                <w:sz w:val="18"/>
                <w:szCs w:val="18"/>
              </w:rPr>
              <w:t>管控措施</w:t>
            </w:r>
          </w:p>
        </w:tc>
      </w:tr>
      <w:tr w14:paraId="0EF8B8D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988" w:hRule="atLeast"/>
        </w:trPr>
        <w:tc>
          <w:tcPr>
            <w:tcW w:w="2116" w:type="pct"/>
            <w:gridSpan w:val="3"/>
            <w:tcBorders>
              <w:top w:val="single" w:color="000000" w:sz="4" w:space="0"/>
              <w:bottom w:val="single" w:color="auto" w:sz="4" w:space="0"/>
              <w:right w:val="single" w:color="000000" w:sz="4" w:space="0"/>
            </w:tcBorders>
            <w:vAlign w:val="center"/>
          </w:tcPr>
          <w:p w14:paraId="13DC18FD">
            <w:pPr>
              <w:widowControl/>
              <w:wordWrap w:val="0"/>
              <w:topLinePunct/>
              <w:autoSpaceDE w:val="0"/>
              <w:autoSpaceDN w:val="0"/>
              <w:snapToGrid w:val="0"/>
              <w:spacing w:line="240" w:lineRule="auto"/>
              <w:jc w:val="center"/>
              <w:textAlignment w:val="center"/>
              <w:rPr>
                <w:rFonts w:ascii="Times New Roman" w:hAnsi="Times New Roman" w:cs="宋体"/>
                <w:snapToGrid w:val="0"/>
                <w:color w:val="000000"/>
                <w:kern w:val="0"/>
                <w:sz w:val="18"/>
                <w:szCs w:val="18"/>
                <w:lang w:eastAsia="en-US"/>
              </w:rPr>
            </w:pPr>
            <w:r>
              <w:rPr>
                <w:rFonts w:hint="eastAsia" w:ascii="宋体" w:hAnsi="宋体" w:cs="宋体"/>
                <w:b/>
                <w:sz w:val="18"/>
                <w:szCs w:val="18"/>
              </w:rPr>
              <w:drawing>
                <wp:inline distT="0" distB="0" distL="114300" distR="114300">
                  <wp:extent cx="567690" cy="720090"/>
                  <wp:effectExtent l="0" t="0" r="3810" b="381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37" cstate="print"/>
                          <a:stretch>
                            <a:fillRect/>
                          </a:stretch>
                        </pic:blipFill>
                        <pic:spPr>
                          <a:xfrm>
                            <a:off x="0" y="0"/>
                            <a:ext cx="567690" cy="720090"/>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567690" cy="720090"/>
                  <wp:effectExtent l="0" t="0" r="3810" b="381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38" cstate="print"/>
                          <a:stretch>
                            <a:fillRect/>
                          </a:stretch>
                        </pic:blipFill>
                        <pic:spPr>
                          <a:xfrm>
                            <a:off x="0" y="0"/>
                            <a:ext cx="567690" cy="720090"/>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567690" cy="720090"/>
                  <wp:effectExtent l="0" t="0" r="3810" b="381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39" cstate="print"/>
                          <a:stretch>
                            <a:fillRect/>
                          </a:stretch>
                        </pic:blipFill>
                        <pic:spPr>
                          <a:xfrm>
                            <a:off x="0" y="0"/>
                            <a:ext cx="567690" cy="720090"/>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543560" cy="720090"/>
                  <wp:effectExtent l="0" t="0" r="8890" b="381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40" cstate="print"/>
                          <a:stretch>
                            <a:fillRect/>
                          </a:stretch>
                        </pic:blipFill>
                        <pic:spPr>
                          <a:xfrm>
                            <a:off x="0" y="0"/>
                            <a:ext cx="543560" cy="720090"/>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567690" cy="720090"/>
                  <wp:effectExtent l="0" t="0" r="3810" b="381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41" cstate="print"/>
                          <a:stretch>
                            <a:fillRect/>
                          </a:stretch>
                        </pic:blipFill>
                        <pic:spPr>
                          <a:xfrm>
                            <a:off x="0" y="0"/>
                            <a:ext cx="567690" cy="720090"/>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554355" cy="720090"/>
                  <wp:effectExtent l="0" t="0" r="17145" b="3810"/>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42" cstate="print"/>
                          <a:stretch>
                            <a:fillRect/>
                          </a:stretch>
                        </pic:blipFill>
                        <pic:spPr>
                          <a:xfrm>
                            <a:off x="0" y="0"/>
                            <a:ext cx="554355" cy="720090"/>
                          </a:xfrm>
                          <a:prstGeom prst="rect">
                            <a:avLst/>
                          </a:prstGeom>
                          <a:noFill/>
                          <a:ln>
                            <a:noFill/>
                          </a:ln>
                        </pic:spPr>
                      </pic:pic>
                    </a:graphicData>
                  </a:graphic>
                </wp:inline>
              </w:drawing>
            </w:r>
            <w:r>
              <w:rPr>
                <w:rFonts w:hint="eastAsia" w:ascii="宋体" w:hAnsi="宋体" w:cs="宋体"/>
                <w:sz w:val="24"/>
                <w:szCs w:val="24"/>
              </w:rPr>
              <w:drawing>
                <wp:inline distT="0" distB="0" distL="114300" distR="114300">
                  <wp:extent cx="554355" cy="720090"/>
                  <wp:effectExtent l="0" t="0" r="17145" b="3810"/>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r:embed="rId43" cstate="print"/>
                          <a:stretch>
                            <a:fillRect/>
                          </a:stretch>
                        </pic:blipFill>
                        <pic:spPr>
                          <a:xfrm>
                            <a:off x="0" y="0"/>
                            <a:ext cx="554355" cy="720090"/>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554355" cy="720090"/>
                  <wp:effectExtent l="0" t="0" r="17145" b="3810"/>
                  <wp:docPr id="13"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56"/>
                          <pic:cNvPicPr>
                            <a:picLocks noChangeAspect="1"/>
                          </pic:cNvPicPr>
                        </pic:nvPicPr>
                        <pic:blipFill>
                          <a:blip r:embed="rId44" cstate="print"/>
                          <a:stretch>
                            <a:fillRect/>
                          </a:stretch>
                        </pic:blipFill>
                        <pic:spPr>
                          <a:xfrm>
                            <a:off x="0" y="0"/>
                            <a:ext cx="554355" cy="720090"/>
                          </a:xfrm>
                          <a:prstGeom prst="rect">
                            <a:avLst/>
                          </a:prstGeom>
                          <a:noFill/>
                          <a:ln>
                            <a:noFill/>
                          </a:ln>
                        </pic:spPr>
                      </pic:pic>
                    </a:graphicData>
                  </a:graphic>
                </wp:inline>
              </w:drawing>
            </w:r>
          </w:p>
        </w:tc>
        <w:tc>
          <w:tcPr>
            <w:tcW w:w="2883" w:type="pct"/>
            <w:gridSpan w:val="3"/>
            <w:tcBorders>
              <w:top w:val="single" w:color="auto" w:sz="4" w:space="0"/>
              <w:left w:val="single" w:color="000000" w:sz="4" w:space="0"/>
              <w:bottom w:val="single" w:color="auto" w:sz="4" w:space="0"/>
            </w:tcBorders>
            <w:vAlign w:val="center"/>
          </w:tcPr>
          <w:p w14:paraId="37066369">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b/>
                <w:bCs/>
                <w:snapToGrid w:val="0"/>
                <w:color w:val="000000"/>
                <w:kern w:val="0"/>
                <w:sz w:val="18"/>
                <w:szCs w:val="18"/>
              </w:rPr>
              <w:t>工程技术：</w:t>
            </w:r>
            <w:r>
              <w:rPr>
                <w:rFonts w:hint="eastAsia" w:ascii="Times New Roman" w:hAnsi="Times New Roman" w:cs="黑体"/>
                <w:snapToGrid w:val="0"/>
                <w:color w:val="000000"/>
                <w:kern w:val="0"/>
                <w:sz w:val="18"/>
                <w:szCs w:val="18"/>
              </w:rPr>
              <w:t>1.充装间与站内建（构）筑物的防火间距符合GB 51142的相关要求。2.设有2台以上（设有5台）自动充装秤，充装秤运行平稳，无异常响声、液化石油气泄漏及异常振动等现象，充装秤应检定合格并在有效期内。3.设有残液倒空和回收装置，在气温较低或气质较差时应在充装前倒残作，保证气瓶内残液量不超标。4.设有检斤称。5.设置可燃气体报警器，探测器与实际检测气体一直。6.气瓶按实瓶区、空瓶区分组布置。气瓶摆放时，15 kg和15 kg以上气瓶不得超过两层，50 kg气瓶应单层摆放。实瓶摆放不宜超过6排，并留有不小于800 mm的通道。7.采用防爆电气，且接地良好。8.按规定配备灭火设备。9.设置火灾应急照明。10.进气管道设有压力表。</w:t>
            </w:r>
          </w:p>
          <w:p w14:paraId="58B323FA">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b/>
                <w:bCs/>
                <w:snapToGrid w:val="0"/>
                <w:color w:val="000000"/>
                <w:kern w:val="0"/>
                <w:sz w:val="18"/>
                <w:szCs w:val="18"/>
              </w:rPr>
              <w:t>安全管理：</w:t>
            </w:r>
            <w:r>
              <w:rPr>
                <w:rFonts w:hint="eastAsia" w:ascii="Times New Roman" w:hAnsi="Times New Roman" w:cs="黑体"/>
                <w:snapToGrid w:val="0"/>
                <w:color w:val="000000"/>
                <w:kern w:val="0"/>
                <w:sz w:val="18"/>
                <w:szCs w:val="18"/>
              </w:rPr>
              <w:t>1.充装间内设置明显的安全警示标识。2.建立健全消防安全管理制度，明确责任及主要内容。3.企业配备专职安全生产管理人员，并取得安全生产管理人员证书。4.作业人员取得运行、维护和抢修人员证书。5.制定岗位安全操作规程并悬挂在醒目位置，操作人员应掌握并严格执行。6.定期巡检、检测、维护和维修设备设施和工艺管线。7.对非法制造、外表损伤、腐蚀、变形、报废、超过检测周期、新投用而未置换或抽真空的钢瓶应不予充装。8.充装工取得相应的特种设备作业人员证</w:t>
            </w:r>
          </w:p>
          <w:p w14:paraId="30099375">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b/>
                <w:bCs/>
                <w:snapToGrid w:val="0"/>
                <w:color w:val="000000"/>
                <w:kern w:val="0"/>
                <w:sz w:val="18"/>
                <w:szCs w:val="18"/>
              </w:rPr>
              <w:t>培训教育：</w:t>
            </w:r>
            <w:r>
              <w:rPr>
                <w:rFonts w:hint="eastAsia" w:ascii="Times New Roman" w:hAnsi="Times New Roman" w:cs="黑体"/>
                <w:snapToGrid w:val="0"/>
                <w:color w:val="000000"/>
                <w:kern w:val="0"/>
                <w:sz w:val="18"/>
                <w:szCs w:val="18"/>
              </w:rPr>
              <w:t>1.定期开展人员操作技能和岗位规程培训。2.在员工上岗、转岗前，进行消防培训教育：对在岗人员至少每半年进行一次消防安全教育。3.人人掌握“四会”消防常识，会查找火灾隐患、会扑救初起火灾、会组织人员疏散逃生、会开展消防安全宣传教育。4.掌握消防设施器材使用方法和逃生自救技能。5.对外来人员进行防火安全告知。</w:t>
            </w:r>
          </w:p>
          <w:p w14:paraId="72CF820C">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b/>
                <w:bCs/>
                <w:snapToGrid w:val="0"/>
                <w:color w:val="000000"/>
                <w:kern w:val="0"/>
                <w:sz w:val="18"/>
                <w:szCs w:val="18"/>
              </w:rPr>
              <w:t>个体防护：</w:t>
            </w:r>
            <w:r>
              <w:rPr>
                <w:rFonts w:hint="eastAsia" w:ascii="Times New Roman" w:hAnsi="Times New Roman" w:cs="黑体"/>
                <w:snapToGrid w:val="0"/>
                <w:color w:val="000000"/>
                <w:kern w:val="0"/>
                <w:sz w:val="18"/>
                <w:szCs w:val="18"/>
              </w:rPr>
              <w:t>作业人员佩戴绝缘手套、安全帽、绝缘鞋等劳动保护用品。</w:t>
            </w:r>
          </w:p>
          <w:p w14:paraId="5B5CB0D5">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b/>
                <w:bCs/>
                <w:snapToGrid w:val="0"/>
                <w:color w:val="000000"/>
                <w:kern w:val="0"/>
                <w:sz w:val="18"/>
                <w:szCs w:val="18"/>
              </w:rPr>
              <w:t>应急处置</w:t>
            </w:r>
            <w:r>
              <w:rPr>
                <w:rFonts w:hint="eastAsia" w:ascii="Times New Roman" w:hAnsi="Times New Roman" w:cs="黑体"/>
                <w:snapToGrid w:val="0"/>
                <w:color w:val="000000"/>
                <w:kern w:val="0"/>
                <w:sz w:val="18"/>
                <w:szCs w:val="18"/>
              </w:rPr>
              <w:t>：1．制定完善事故应急处置方案。2.按规定开展应急演练。</w:t>
            </w:r>
          </w:p>
        </w:tc>
      </w:tr>
      <w:tr w14:paraId="3C45CC9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16" w:type="pct"/>
            <w:gridSpan w:val="3"/>
            <w:tcBorders>
              <w:top w:val="single" w:color="auto" w:sz="4" w:space="0"/>
              <w:bottom w:val="single" w:color="auto" w:sz="4" w:space="0"/>
              <w:right w:val="single" w:color="000000" w:sz="4" w:space="0"/>
            </w:tcBorders>
            <w:shd w:val="clear" w:color="auto" w:fill="DCD8C2"/>
            <w:vAlign w:val="center"/>
          </w:tcPr>
          <w:p w14:paraId="3991E3D7">
            <w:pPr>
              <w:widowControl/>
              <w:wordWrap w:val="0"/>
              <w:topLinePunct/>
              <w:autoSpaceDE w:val="0"/>
              <w:autoSpaceDN w:val="0"/>
              <w:snapToGrid w:val="0"/>
              <w:spacing w:line="240" w:lineRule="auto"/>
              <w:jc w:val="center"/>
              <w:textAlignment w:val="baseline"/>
              <w:rPr>
                <w:rFonts w:ascii="Times New Roman" w:hAnsi="Times New Roman" w:cs="宋体"/>
                <w:snapToGrid w:val="0"/>
                <w:color w:val="000000"/>
                <w:kern w:val="0"/>
                <w:sz w:val="18"/>
                <w:szCs w:val="18"/>
              </w:rPr>
            </w:pPr>
            <w:r>
              <w:rPr>
                <w:rFonts w:hint="eastAsia" w:ascii="Times New Roman" w:hAnsi="Times New Roman" w:cs="宋体"/>
                <w:snapToGrid w:val="0"/>
                <w:color w:val="000000"/>
                <w:kern w:val="0"/>
                <w:sz w:val="18"/>
                <w:szCs w:val="18"/>
              </w:rPr>
              <w:t>安全防护标识</w:t>
            </w:r>
          </w:p>
        </w:tc>
        <w:tc>
          <w:tcPr>
            <w:tcW w:w="2883" w:type="pct"/>
            <w:gridSpan w:val="3"/>
            <w:tcBorders>
              <w:top w:val="single" w:color="auto" w:sz="4" w:space="0"/>
              <w:left w:val="single" w:color="000000" w:sz="4" w:space="0"/>
              <w:bottom w:val="single" w:color="auto" w:sz="4" w:space="0"/>
            </w:tcBorders>
            <w:shd w:val="clear" w:color="auto" w:fill="DCD8C2"/>
            <w:vAlign w:val="center"/>
          </w:tcPr>
          <w:p w14:paraId="14281367">
            <w:pPr>
              <w:widowControl/>
              <w:wordWrap w:val="0"/>
              <w:topLinePunct/>
              <w:autoSpaceDE w:val="0"/>
              <w:autoSpaceDN w:val="0"/>
              <w:snapToGrid w:val="0"/>
              <w:spacing w:line="240" w:lineRule="auto"/>
              <w:jc w:val="center"/>
              <w:textAlignment w:val="center"/>
              <w:rPr>
                <w:rFonts w:ascii="Times New Roman" w:hAnsi="Times New Roman" w:cs="宋体"/>
                <w:snapToGrid w:val="0"/>
                <w:color w:val="000000"/>
                <w:kern w:val="0"/>
                <w:sz w:val="18"/>
                <w:szCs w:val="18"/>
              </w:rPr>
            </w:pPr>
            <w:r>
              <w:rPr>
                <w:rFonts w:hint="eastAsia" w:ascii="Times New Roman" w:hAnsi="Times New Roman" w:cs="宋体"/>
                <w:snapToGrid w:val="0"/>
                <w:color w:val="000000"/>
                <w:kern w:val="0"/>
                <w:sz w:val="18"/>
                <w:szCs w:val="18"/>
              </w:rPr>
              <w:t>应急措施</w:t>
            </w:r>
          </w:p>
        </w:tc>
      </w:tr>
      <w:tr w14:paraId="74B0958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342" w:hRule="atLeast"/>
        </w:trPr>
        <w:tc>
          <w:tcPr>
            <w:tcW w:w="2116" w:type="pct"/>
            <w:gridSpan w:val="3"/>
            <w:tcBorders>
              <w:top w:val="single" w:color="auto" w:sz="4" w:space="0"/>
              <w:bottom w:val="single" w:color="auto" w:sz="4" w:space="0"/>
              <w:right w:val="single" w:color="000000" w:sz="4" w:space="0"/>
            </w:tcBorders>
            <w:vAlign w:val="center"/>
          </w:tcPr>
          <w:p w14:paraId="7BD7FBF0">
            <w:pPr>
              <w:widowControl/>
              <w:wordWrap w:val="0"/>
              <w:topLinePunct/>
              <w:autoSpaceDE w:val="0"/>
              <w:autoSpaceDN w:val="0"/>
              <w:snapToGrid w:val="0"/>
              <w:spacing w:line="240" w:lineRule="auto"/>
              <w:jc w:val="center"/>
              <w:textAlignment w:val="center"/>
              <w:rPr>
                <w:rFonts w:ascii="仿宋_GB2312" w:hAnsi="Times New Roman" w:eastAsia="仿宋_GB2312"/>
                <w:b/>
                <w:sz w:val="18"/>
                <w:szCs w:val="18"/>
              </w:rPr>
            </w:pPr>
            <w:r>
              <w:rPr>
                <w:rFonts w:hint="eastAsia" w:ascii="宋体" w:hAnsi="宋体" w:cs="宋体"/>
                <w:b/>
                <w:sz w:val="18"/>
                <w:szCs w:val="18"/>
              </w:rPr>
              <w:drawing>
                <wp:inline distT="0" distB="0" distL="114300" distR="114300">
                  <wp:extent cx="565785" cy="720090"/>
                  <wp:effectExtent l="0" t="0" r="5715" b="3810"/>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45" cstate="print"/>
                          <a:stretch>
                            <a:fillRect/>
                          </a:stretch>
                        </pic:blipFill>
                        <pic:spPr>
                          <a:xfrm>
                            <a:off x="0" y="0"/>
                            <a:ext cx="565785" cy="720090"/>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565785" cy="720090"/>
                  <wp:effectExtent l="0" t="0" r="5715" b="3810"/>
                  <wp:docPr id="15"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56"/>
                          <pic:cNvPicPr>
                            <a:picLocks noChangeAspect="1"/>
                          </pic:cNvPicPr>
                        </pic:nvPicPr>
                        <pic:blipFill>
                          <a:blip r:embed="rId46" cstate="print"/>
                          <a:stretch>
                            <a:fillRect/>
                          </a:stretch>
                        </pic:blipFill>
                        <pic:spPr>
                          <a:xfrm>
                            <a:off x="0" y="0"/>
                            <a:ext cx="565785" cy="720090"/>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565785" cy="720090"/>
                  <wp:effectExtent l="0" t="0" r="5715" b="3810"/>
                  <wp:docPr id="16"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56"/>
                          <pic:cNvPicPr>
                            <a:picLocks noChangeAspect="1"/>
                          </pic:cNvPicPr>
                        </pic:nvPicPr>
                        <pic:blipFill>
                          <a:blip r:embed="rId47" cstate="print"/>
                          <a:stretch>
                            <a:fillRect/>
                          </a:stretch>
                        </pic:blipFill>
                        <pic:spPr>
                          <a:xfrm>
                            <a:off x="0" y="0"/>
                            <a:ext cx="565785" cy="720090"/>
                          </a:xfrm>
                          <a:prstGeom prst="rect">
                            <a:avLst/>
                          </a:prstGeom>
                          <a:noFill/>
                          <a:ln>
                            <a:noFill/>
                          </a:ln>
                        </pic:spPr>
                      </pic:pic>
                    </a:graphicData>
                  </a:graphic>
                </wp:inline>
              </w:drawing>
            </w:r>
          </w:p>
        </w:tc>
        <w:tc>
          <w:tcPr>
            <w:tcW w:w="2883" w:type="pct"/>
            <w:gridSpan w:val="3"/>
            <w:vMerge w:val="restart"/>
            <w:tcBorders>
              <w:top w:val="single" w:color="auto" w:sz="4" w:space="0"/>
              <w:left w:val="single" w:color="000000" w:sz="4" w:space="0"/>
              <w:bottom w:val="single" w:color="auto" w:sz="4" w:space="0"/>
            </w:tcBorders>
            <w:vAlign w:val="center"/>
          </w:tcPr>
          <w:p w14:paraId="7C172188">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1.发生火灾时，迅速使用起火现场的灭火器等设备进行灭火降温，防止火势蔓延并立即上报；切断火势蔓延的途径，冷却和转移受火势威胁的可燃物，控制燃烧范围；初起火灾，</w:t>
            </w:r>
            <w:r>
              <w:rPr>
                <w:rFonts w:ascii="Times New Roman" w:hAnsi="Times New Roman" w:cs="黑体"/>
                <w:snapToGrid w:val="0"/>
                <w:color w:val="000000"/>
                <w:kern w:val="0"/>
                <w:sz w:val="18"/>
                <w:szCs w:val="18"/>
              </w:rPr>
              <w:t>立即切断相关的电源和气源</w:t>
            </w:r>
            <w:r>
              <w:rPr>
                <w:rFonts w:hint="eastAsia" w:ascii="Times New Roman" w:hAnsi="Times New Roman" w:cs="黑体"/>
                <w:snapToGrid w:val="0"/>
                <w:color w:val="000000"/>
                <w:kern w:val="0"/>
                <w:sz w:val="18"/>
                <w:szCs w:val="18"/>
              </w:rPr>
              <w:t>；扑救人员必须佩戴防毒面具，采取防护措施；如有人员受伤，应以先抢救伤员为主，对重伤者要立即送往医院；火灾扑灭后，应留有人员观察现场情况，防止复燃。若火势难以控制，现场负责人或班组长指定专人组织无关人员向上侧风方向疏散，落实火灾危险区域隔离措施，同时拨打119报警。</w:t>
            </w:r>
          </w:p>
          <w:p w14:paraId="0F2E888F">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 xml:space="preserve">2.发生其他爆炸、容器爆炸时，爆炸现场的操作人员应立即撤出事故现场并上报，同时拨打119报警。消防应急人员赶到现场后，在确认安全的前提下设法关闭阀门，切断气源，对罐区进行保护。爆炸后发生的火灾事故，按火灾事故应急处置的方法进行处置。 </w:t>
            </w:r>
          </w:p>
          <w:p w14:paraId="6AB5B655">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3.发生中毒和窒息事故时，立刻加强通风，发现者立即向周围人员呼救，救援人员进入危险区域前必须佩戴防毒面具，迅速将伤者转移到安全、通风的地方，及时送至医院接受救治；若呼吸已经停止，应立即进行心肺复苏抢救。</w:t>
            </w:r>
          </w:p>
        </w:tc>
      </w:tr>
      <w:tr w14:paraId="672B9F4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087" w:hRule="atLeast"/>
        </w:trPr>
        <w:tc>
          <w:tcPr>
            <w:tcW w:w="2116" w:type="pct"/>
            <w:gridSpan w:val="3"/>
            <w:tcBorders>
              <w:top w:val="single" w:color="auto" w:sz="4" w:space="0"/>
              <w:bottom w:val="single" w:color="auto" w:sz="4" w:space="0"/>
              <w:right w:val="single" w:color="000000" w:sz="4" w:space="0"/>
            </w:tcBorders>
            <w:vAlign w:val="center"/>
          </w:tcPr>
          <w:p w14:paraId="1B041C42">
            <w:pPr>
              <w:widowControl/>
              <w:wordWrap w:val="0"/>
              <w:topLinePunct/>
              <w:autoSpaceDE w:val="0"/>
              <w:autoSpaceDN w:val="0"/>
              <w:snapToGrid w:val="0"/>
              <w:spacing w:line="240" w:lineRule="auto"/>
              <w:jc w:val="center"/>
              <w:textAlignment w:val="baseline"/>
              <w:rPr>
                <w:rFonts w:ascii="Times New Roman" w:hAnsi="Times New Roman" w:cs="黑体"/>
                <w:b/>
                <w:bCs/>
                <w:snapToGrid w:val="0"/>
                <w:color w:val="FF0000"/>
                <w:kern w:val="0"/>
                <w:sz w:val="18"/>
                <w:szCs w:val="18"/>
              </w:rPr>
            </w:pPr>
            <w:r>
              <w:rPr>
                <w:rFonts w:hint="eastAsia" w:ascii="Times New Roman" w:hAnsi="Times New Roman" w:cs="黑体"/>
                <w:b/>
                <w:bCs/>
                <w:snapToGrid w:val="0"/>
                <w:color w:val="FF0000"/>
                <w:kern w:val="0"/>
                <w:sz w:val="18"/>
                <w:szCs w:val="18"/>
              </w:rPr>
              <w:t>全厂禁止烟火！严禁盲目施救！</w:t>
            </w:r>
          </w:p>
          <w:p w14:paraId="1028D821">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报警急救电话：119、120</w:t>
            </w:r>
          </w:p>
          <w:p w14:paraId="47FCB741">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企业紧急联系人：赵五</w:t>
            </w:r>
          </w:p>
          <w:p w14:paraId="4A3FEB7A">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电话：1XXXXXXXXXX</w:t>
            </w:r>
          </w:p>
        </w:tc>
        <w:tc>
          <w:tcPr>
            <w:tcW w:w="2883" w:type="pct"/>
            <w:gridSpan w:val="3"/>
            <w:vMerge w:val="continue"/>
            <w:tcBorders>
              <w:top w:val="single" w:color="auto" w:sz="4" w:space="0"/>
              <w:left w:val="single" w:color="000000" w:sz="4" w:space="0"/>
              <w:bottom w:val="single" w:color="auto" w:sz="4" w:space="0"/>
            </w:tcBorders>
            <w:vAlign w:val="center"/>
          </w:tcPr>
          <w:p w14:paraId="69E4C62C">
            <w:pPr>
              <w:widowControl/>
              <w:wordWrap w:val="0"/>
              <w:topLinePunct/>
              <w:autoSpaceDE w:val="0"/>
              <w:autoSpaceDN w:val="0"/>
              <w:snapToGrid w:val="0"/>
              <w:spacing w:line="240" w:lineRule="auto"/>
              <w:jc w:val="left"/>
              <w:textAlignment w:val="center"/>
              <w:rPr>
                <w:rFonts w:ascii="仿宋_GB2312" w:hAnsi="Times New Roman" w:eastAsia="仿宋_GB2312"/>
                <w:b/>
                <w:sz w:val="18"/>
                <w:szCs w:val="18"/>
              </w:rPr>
            </w:pPr>
          </w:p>
        </w:tc>
      </w:tr>
    </w:tbl>
    <w:p w14:paraId="798C4E65">
      <w:pPr>
        <w:pStyle w:val="51"/>
        <w:ind w:firstLine="0" w:firstLineChars="0"/>
        <w:sectPr>
          <w:pgSz w:w="11906" w:h="16838"/>
          <w:pgMar w:top="1928" w:right="1134" w:bottom="1134" w:left="1134" w:header="1418" w:footer="1134" w:gutter="283"/>
          <w:cols w:space="720" w:num="1"/>
          <w:formProt w:val="0"/>
          <w:docGrid w:type="lines" w:linePitch="316" w:charSpace="0"/>
        </w:sectPr>
      </w:pPr>
    </w:p>
    <w:p w14:paraId="1034B85D">
      <w:pPr>
        <w:pStyle w:val="127"/>
      </w:pPr>
    </w:p>
    <w:p w14:paraId="3AC988D8">
      <w:pPr>
        <w:pStyle w:val="144"/>
        <w:spacing w:before="79" w:after="158"/>
      </w:pPr>
      <w:bookmarkStart w:id="126" w:name="_Toc18974"/>
      <w:bookmarkStart w:id="127" w:name="_Toc32107"/>
      <w:r>
        <w:rPr>
          <w:rFonts w:hint="eastAsia"/>
        </w:rPr>
        <w:br w:type="textWrapping"/>
      </w:r>
      <w:r>
        <w:rPr>
          <w:rFonts w:hint="eastAsia"/>
        </w:rPr>
        <w:t>（资料性）</w:t>
      </w:r>
      <w:r>
        <w:rPr>
          <w:rFonts w:hint="eastAsia"/>
        </w:rPr>
        <w:br w:type="textWrapping"/>
      </w:r>
      <w:r>
        <w:rPr>
          <w:rFonts w:hint="eastAsia"/>
        </w:rPr>
        <w:t>岗位安全风险告知卡</w:t>
      </w:r>
      <w:bookmarkEnd w:id="126"/>
      <w:bookmarkEnd w:id="127"/>
    </w:p>
    <w:tbl>
      <w:tblPr>
        <w:tblStyle w:val="26"/>
        <w:tblW w:w="5020" w:type="pct"/>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0" w:type="dxa"/>
          <w:bottom w:w="0" w:type="dxa"/>
          <w:right w:w="0" w:type="dxa"/>
        </w:tblCellMar>
      </w:tblPr>
      <w:tblGrid>
        <w:gridCol w:w="1385"/>
        <w:gridCol w:w="3131"/>
        <w:gridCol w:w="1753"/>
        <w:gridCol w:w="3144"/>
      </w:tblGrid>
      <w:tr w14:paraId="2061C21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5000" w:type="pct"/>
            <w:gridSpan w:val="4"/>
            <w:tcBorders>
              <w:bottom w:val="single" w:color="000000" w:sz="8" w:space="0"/>
            </w:tcBorders>
            <w:vAlign w:val="center"/>
          </w:tcPr>
          <w:p w14:paraId="428462CA">
            <w:pPr>
              <w:widowControl/>
              <w:wordWrap w:val="0"/>
              <w:topLinePunct/>
              <w:autoSpaceDE w:val="0"/>
              <w:autoSpaceDN w:val="0"/>
              <w:snapToGrid w:val="0"/>
              <w:spacing w:line="240" w:lineRule="auto"/>
              <w:jc w:val="center"/>
              <w:textAlignment w:val="center"/>
              <w:rPr>
                <w:rFonts w:ascii="Times New Roman" w:hAnsi="Times New Roman" w:cs="宋体"/>
                <w:b/>
                <w:bCs/>
                <w:snapToGrid w:val="0"/>
                <w:color w:val="000000"/>
                <w:kern w:val="0"/>
                <w:sz w:val="18"/>
                <w:szCs w:val="18"/>
              </w:rPr>
            </w:pPr>
            <w:r>
              <w:rPr>
                <w:rFonts w:hint="eastAsia" w:ascii="Times New Roman" w:hAnsi="Times New Roman" w:cs="宋体"/>
                <w:b/>
                <w:bCs/>
                <w:snapToGrid w:val="0"/>
                <w:color w:val="000000"/>
                <w:kern w:val="0"/>
                <w:sz w:val="18"/>
                <w:szCs w:val="18"/>
              </w:rPr>
              <w:t>岗位安全风险告知卡</w:t>
            </w:r>
          </w:p>
        </w:tc>
      </w:tr>
      <w:tr w14:paraId="4C7480A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36" w:type="pct"/>
            <w:tcBorders>
              <w:top w:val="single" w:color="000000" w:sz="8" w:space="0"/>
              <w:bottom w:val="single" w:color="000000" w:sz="4" w:space="0"/>
              <w:right w:val="single" w:color="000000" w:sz="4" w:space="0"/>
            </w:tcBorders>
            <w:shd w:val="clear" w:color="auto" w:fill="DCD8C2"/>
            <w:vAlign w:val="center"/>
          </w:tcPr>
          <w:p w14:paraId="44242E3F">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岗位</w:t>
            </w:r>
          </w:p>
        </w:tc>
        <w:tc>
          <w:tcPr>
            <w:tcW w:w="1663" w:type="pct"/>
            <w:tcBorders>
              <w:top w:val="single" w:color="000000" w:sz="8" w:space="0"/>
              <w:left w:val="single" w:color="000000" w:sz="4" w:space="0"/>
              <w:bottom w:val="single" w:color="000000" w:sz="4" w:space="0"/>
              <w:right w:val="single" w:color="000000" w:sz="4" w:space="0"/>
            </w:tcBorders>
            <w:shd w:val="clear" w:color="auto" w:fill="auto"/>
            <w:vAlign w:val="center"/>
          </w:tcPr>
          <w:p w14:paraId="01F22984">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充装工</w:t>
            </w:r>
          </w:p>
        </w:tc>
        <w:tc>
          <w:tcPr>
            <w:tcW w:w="931" w:type="pct"/>
            <w:tcBorders>
              <w:top w:val="single" w:color="000000" w:sz="8" w:space="0"/>
              <w:left w:val="single" w:color="000000" w:sz="4" w:space="0"/>
              <w:bottom w:val="single" w:color="000000" w:sz="4" w:space="0"/>
              <w:right w:val="single" w:color="000000" w:sz="4" w:space="0"/>
            </w:tcBorders>
            <w:shd w:val="clear" w:color="auto" w:fill="DCD8C2"/>
            <w:vAlign w:val="center"/>
          </w:tcPr>
          <w:p w14:paraId="522674B5">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姓名</w:t>
            </w:r>
          </w:p>
        </w:tc>
        <w:tc>
          <w:tcPr>
            <w:tcW w:w="1668" w:type="pct"/>
            <w:tcBorders>
              <w:top w:val="single" w:color="000000" w:sz="8" w:space="0"/>
              <w:left w:val="single" w:color="000000" w:sz="4" w:space="0"/>
              <w:bottom w:val="single" w:color="000000" w:sz="4" w:space="0"/>
            </w:tcBorders>
            <w:vAlign w:val="center"/>
          </w:tcPr>
          <w:p w14:paraId="606A7A2A">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李四</w:t>
            </w:r>
          </w:p>
        </w:tc>
      </w:tr>
      <w:tr w14:paraId="4AEF7E0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36" w:type="pct"/>
            <w:tcBorders>
              <w:top w:val="single" w:color="000000" w:sz="4" w:space="0"/>
              <w:bottom w:val="single" w:color="000000" w:sz="4" w:space="0"/>
              <w:right w:val="single" w:color="000000" w:sz="4" w:space="0"/>
            </w:tcBorders>
            <w:shd w:val="clear" w:color="auto" w:fill="DCD8C2"/>
            <w:vAlign w:val="center"/>
          </w:tcPr>
          <w:p w14:paraId="0D1038BC">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场所/设备/环节</w:t>
            </w:r>
          </w:p>
        </w:tc>
        <w:tc>
          <w:tcPr>
            <w:tcW w:w="4263" w:type="pct"/>
            <w:gridSpan w:val="3"/>
            <w:tcBorders>
              <w:top w:val="single" w:color="000000" w:sz="4" w:space="0"/>
              <w:left w:val="single" w:color="000000" w:sz="4" w:space="0"/>
              <w:bottom w:val="single" w:color="000000" w:sz="4" w:space="0"/>
            </w:tcBorders>
            <w:vAlign w:val="center"/>
          </w:tcPr>
          <w:p w14:paraId="49ECBCF7">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充装间/充装称、压力管道、LPG钢瓶/充装作业</w:t>
            </w:r>
          </w:p>
        </w:tc>
      </w:tr>
      <w:tr w14:paraId="6E1408D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36" w:type="pct"/>
            <w:tcBorders>
              <w:top w:val="single" w:color="000000" w:sz="4" w:space="0"/>
              <w:bottom w:val="single" w:color="000000" w:sz="4" w:space="0"/>
              <w:right w:val="single" w:color="000000" w:sz="4" w:space="0"/>
            </w:tcBorders>
            <w:shd w:val="clear" w:color="auto" w:fill="DCD8C2"/>
            <w:vAlign w:val="center"/>
          </w:tcPr>
          <w:p w14:paraId="5CFA70C0">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危险物质/能量</w:t>
            </w:r>
          </w:p>
        </w:tc>
        <w:tc>
          <w:tcPr>
            <w:tcW w:w="1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ADD82">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1.液化石油气</w:t>
            </w:r>
          </w:p>
          <w:p w14:paraId="0AC85B65">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2.点火源（明火、电火、高温、雷电）</w:t>
            </w:r>
          </w:p>
        </w:tc>
        <w:tc>
          <w:tcPr>
            <w:tcW w:w="931" w:type="pct"/>
            <w:tcBorders>
              <w:top w:val="single" w:color="000000" w:sz="4" w:space="0"/>
              <w:left w:val="single" w:color="000000" w:sz="4" w:space="0"/>
              <w:bottom w:val="single" w:color="000000" w:sz="4" w:space="0"/>
              <w:right w:val="single" w:color="000000" w:sz="4" w:space="0"/>
            </w:tcBorders>
            <w:shd w:val="clear" w:color="auto" w:fill="DCD8C2"/>
            <w:vAlign w:val="center"/>
          </w:tcPr>
          <w:p w14:paraId="160AD062">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主要风险类型</w:t>
            </w:r>
          </w:p>
        </w:tc>
        <w:tc>
          <w:tcPr>
            <w:tcW w:w="1668" w:type="pct"/>
            <w:tcBorders>
              <w:top w:val="single" w:color="000000" w:sz="4" w:space="0"/>
              <w:left w:val="single" w:color="000000" w:sz="4" w:space="0"/>
              <w:bottom w:val="single" w:color="000000" w:sz="4" w:space="0"/>
            </w:tcBorders>
            <w:vAlign w:val="center"/>
          </w:tcPr>
          <w:p w14:paraId="66263538">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火灾、其他爆炸、容器爆炸、中毒和窒息等</w:t>
            </w:r>
          </w:p>
        </w:tc>
      </w:tr>
      <w:tr w14:paraId="300D60F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36" w:type="pct"/>
            <w:tcBorders>
              <w:top w:val="single" w:color="000000" w:sz="4" w:space="0"/>
              <w:bottom w:val="single" w:color="000000" w:sz="4" w:space="0"/>
              <w:right w:val="single" w:color="000000" w:sz="4" w:space="0"/>
            </w:tcBorders>
            <w:shd w:val="clear" w:color="auto" w:fill="DCD8C2"/>
            <w:vAlign w:val="center"/>
          </w:tcPr>
          <w:p w14:paraId="37A7B985">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固有风险等级</w:t>
            </w:r>
          </w:p>
        </w:tc>
        <w:tc>
          <w:tcPr>
            <w:tcW w:w="1663"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3CBE7753">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较大风险</w:t>
            </w:r>
          </w:p>
        </w:tc>
        <w:tc>
          <w:tcPr>
            <w:tcW w:w="931" w:type="pct"/>
            <w:tcBorders>
              <w:top w:val="single" w:color="000000" w:sz="4" w:space="0"/>
              <w:left w:val="single" w:color="000000" w:sz="4" w:space="0"/>
              <w:bottom w:val="single" w:color="000000" w:sz="4" w:space="0"/>
              <w:right w:val="single" w:color="000000" w:sz="4" w:space="0"/>
            </w:tcBorders>
            <w:shd w:val="clear" w:color="auto" w:fill="DCD8C2"/>
            <w:vAlign w:val="center"/>
          </w:tcPr>
          <w:p w14:paraId="7942E5E4">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残余风险等级</w:t>
            </w:r>
          </w:p>
        </w:tc>
        <w:tc>
          <w:tcPr>
            <w:tcW w:w="1668" w:type="pct"/>
            <w:tcBorders>
              <w:top w:val="single" w:color="000000" w:sz="4" w:space="0"/>
              <w:left w:val="single" w:color="000000" w:sz="4" w:space="0"/>
              <w:bottom w:val="single" w:color="000000" w:sz="4" w:space="0"/>
            </w:tcBorders>
            <w:shd w:val="clear" w:color="auto" w:fill="FFFF00"/>
            <w:vAlign w:val="center"/>
          </w:tcPr>
          <w:p w14:paraId="232A7CA9">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一般风险</w:t>
            </w:r>
          </w:p>
        </w:tc>
      </w:tr>
      <w:tr w14:paraId="2F1942E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36" w:type="pct"/>
            <w:tcBorders>
              <w:top w:val="single" w:color="000000" w:sz="4" w:space="0"/>
              <w:bottom w:val="single" w:color="000000" w:sz="4" w:space="0"/>
              <w:right w:val="single" w:color="000000" w:sz="4" w:space="0"/>
            </w:tcBorders>
            <w:shd w:val="clear" w:color="auto" w:fill="DCD8C2"/>
            <w:vAlign w:val="center"/>
          </w:tcPr>
          <w:p w14:paraId="5F83B8A4">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触发事件</w:t>
            </w:r>
          </w:p>
        </w:tc>
        <w:tc>
          <w:tcPr>
            <w:tcW w:w="4263" w:type="pct"/>
            <w:gridSpan w:val="3"/>
            <w:tcBorders>
              <w:top w:val="single" w:color="000000" w:sz="4" w:space="0"/>
              <w:left w:val="single" w:color="000000" w:sz="4" w:space="0"/>
              <w:bottom w:val="single" w:color="000000" w:sz="4" w:space="0"/>
            </w:tcBorders>
            <w:vAlign w:val="center"/>
          </w:tcPr>
          <w:p w14:paraId="25A469E5">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1.由于阀门损坏、密封填料磨损、老化，钢瓶腐蚀穿孔、破裂，管线腐蚀穿孔、连接不规范等，造成液化石油气泄漏。</w:t>
            </w:r>
          </w:p>
          <w:p w14:paraId="72FFE038">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2.抽烟、违规用火、用电、电气老化等原因引燃达到爆炸极限的液化石油气。</w:t>
            </w:r>
          </w:p>
          <w:p w14:paraId="362DCC95">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3.电气接地缺失、失效。</w:t>
            </w:r>
          </w:p>
        </w:tc>
      </w:tr>
      <w:tr w14:paraId="3484EC3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36" w:type="pct"/>
            <w:tcBorders>
              <w:top w:val="single" w:color="000000" w:sz="4" w:space="0"/>
              <w:bottom w:val="single" w:color="000000" w:sz="4" w:space="0"/>
              <w:right w:val="single" w:color="000000" w:sz="4" w:space="0"/>
            </w:tcBorders>
            <w:shd w:val="clear" w:color="auto" w:fill="DCD8C2"/>
            <w:vAlign w:val="center"/>
          </w:tcPr>
          <w:p w14:paraId="7BFD04B3">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管控措施</w:t>
            </w:r>
          </w:p>
        </w:tc>
        <w:tc>
          <w:tcPr>
            <w:tcW w:w="4263" w:type="pct"/>
            <w:gridSpan w:val="3"/>
            <w:tcBorders>
              <w:top w:val="single" w:color="000000" w:sz="4" w:space="0"/>
              <w:left w:val="single" w:color="000000" w:sz="4" w:space="0"/>
              <w:bottom w:val="single" w:color="000000" w:sz="4" w:space="0"/>
            </w:tcBorders>
            <w:vAlign w:val="center"/>
          </w:tcPr>
          <w:p w14:paraId="0B2D5805">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b/>
                <w:bCs/>
                <w:snapToGrid w:val="0"/>
                <w:color w:val="000000"/>
                <w:kern w:val="0"/>
                <w:sz w:val="18"/>
                <w:szCs w:val="18"/>
              </w:rPr>
              <w:t>工程技术：</w:t>
            </w:r>
            <w:r>
              <w:rPr>
                <w:rFonts w:hint="eastAsia" w:ascii="Times New Roman" w:hAnsi="Times New Roman" w:cs="黑体"/>
                <w:snapToGrid w:val="0"/>
                <w:color w:val="000000"/>
                <w:kern w:val="0"/>
                <w:sz w:val="18"/>
                <w:szCs w:val="18"/>
              </w:rPr>
              <w:t>1.充装间与站内建（构）筑物的防火间距符合GB 51142的相关要求。2.设有2台以上（设有5台）自动充装秤，充装秤运行平稳，无异常响声、液化石油气泄漏及异常振动等现象，充装秤应检定合格并在有效期内。3.设有残液倒空和回收装置，在气温较低或气质较差时应在充装前倒残作，保证气瓶内残液量不超标。4.设有检斤称。5.设置可燃气体报警器，探测器与实际检测气体一直。6.气瓶按实瓶区、空瓶区分组布置。气瓶摆放时，15 kg和15 kg以上气瓶不得超过两层，50 kg气瓶应单层摆放。实瓶摆放不宜超过6排，并留有不小于800 mm的通道。7.采用防爆电气，且接地良好。8.按规定配备灭火设备。9.设置火灾应急照明。10.进气管道设有压力表。</w:t>
            </w:r>
          </w:p>
          <w:p w14:paraId="25596335">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b/>
                <w:bCs/>
                <w:snapToGrid w:val="0"/>
                <w:color w:val="000000"/>
                <w:kern w:val="0"/>
                <w:sz w:val="18"/>
                <w:szCs w:val="18"/>
              </w:rPr>
              <w:t>安全管理：</w:t>
            </w:r>
            <w:r>
              <w:rPr>
                <w:rFonts w:hint="eastAsia" w:ascii="Times New Roman" w:hAnsi="Times New Roman" w:cs="黑体"/>
                <w:snapToGrid w:val="0"/>
                <w:color w:val="000000"/>
                <w:kern w:val="0"/>
                <w:sz w:val="18"/>
                <w:szCs w:val="18"/>
              </w:rPr>
              <w:t>1.充装间内设置明显的安全警示标识。2.建立健全消防安全管理制度，明确责任及主要内容。3.企业配备专职安全生产管理人员，并取得安全生产管理人员证书。4.作业人员取得运行、维护和抢修人员证书。5.制定岗位安全操作规程并悬挂在醒目位置，操作人员应掌握并严格执行。6.定期巡检、检测、维护和维修设备设施和工艺管线。7.对非法制造、外表损伤、腐蚀、变形、报废、超过检测周期、新投用而未置换或抽真空的钢瓶应不予充装。8.充装工取得相应的特种设备作业人员证</w:t>
            </w:r>
          </w:p>
          <w:p w14:paraId="5EEBC3D7">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b/>
                <w:bCs/>
                <w:snapToGrid w:val="0"/>
                <w:color w:val="000000"/>
                <w:kern w:val="0"/>
                <w:sz w:val="18"/>
                <w:szCs w:val="18"/>
              </w:rPr>
              <w:t>培训教育：</w:t>
            </w:r>
            <w:r>
              <w:rPr>
                <w:rFonts w:hint="eastAsia" w:ascii="Times New Roman" w:hAnsi="Times New Roman" w:cs="黑体"/>
                <w:snapToGrid w:val="0"/>
                <w:color w:val="000000"/>
                <w:kern w:val="0"/>
                <w:sz w:val="18"/>
                <w:szCs w:val="18"/>
              </w:rPr>
              <w:t>1.定期开展人员操作技能和岗位规程培训。2.在员工上岗、转岗前，进行消防培训教育：对在岗人员至少每半年进行一次消防安全教育。3.人人掌握“四会”消防常识，会查找火灾隐患、会扑救初起火灾、会组织人员疏散逃生、会开展消防安全宣传教育。4.掌握消防设施器材使用方法和逃生自救技能。5.对外来人员进行防火安全告知。</w:t>
            </w:r>
          </w:p>
          <w:p w14:paraId="3E559A7F">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b/>
                <w:bCs/>
                <w:snapToGrid w:val="0"/>
                <w:color w:val="000000"/>
                <w:kern w:val="0"/>
                <w:sz w:val="18"/>
                <w:szCs w:val="18"/>
              </w:rPr>
              <w:t>个体防护：</w:t>
            </w:r>
            <w:r>
              <w:rPr>
                <w:rFonts w:hint="eastAsia" w:ascii="Times New Roman" w:hAnsi="Times New Roman" w:cs="黑体"/>
                <w:snapToGrid w:val="0"/>
                <w:color w:val="000000"/>
                <w:kern w:val="0"/>
                <w:sz w:val="18"/>
                <w:szCs w:val="18"/>
              </w:rPr>
              <w:t>作业人员佩戴绝缘手套、安全帽、绝缘鞋等劳动保护用品。</w:t>
            </w:r>
          </w:p>
          <w:p w14:paraId="554CC176">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b/>
                <w:bCs/>
                <w:snapToGrid w:val="0"/>
                <w:color w:val="000000"/>
                <w:kern w:val="0"/>
                <w:sz w:val="18"/>
                <w:szCs w:val="18"/>
              </w:rPr>
              <w:t>应急处置</w:t>
            </w:r>
            <w:r>
              <w:rPr>
                <w:rFonts w:hint="eastAsia" w:ascii="Times New Roman" w:hAnsi="Times New Roman" w:cs="黑体"/>
                <w:snapToGrid w:val="0"/>
                <w:color w:val="000000"/>
                <w:kern w:val="0"/>
                <w:sz w:val="18"/>
                <w:szCs w:val="18"/>
              </w:rPr>
              <w:t>：1.制定完善事故应急处置方案。2.按规定开展应急演练。</w:t>
            </w:r>
          </w:p>
        </w:tc>
      </w:tr>
      <w:tr w14:paraId="631F53C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36" w:type="pct"/>
            <w:tcBorders>
              <w:top w:val="single" w:color="000000" w:sz="4" w:space="0"/>
              <w:bottom w:val="single" w:color="000000" w:sz="4" w:space="0"/>
              <w:right w:val="single" w:color="000000" w:sz="4" w:space="0"/>
            </w:tcBorders>
            <w:shd w:val="clear" w:color="auto" w:fill="DCD8C2"/>
            <w:vAlign w:val="center"/>
          </w:tcPr>
          <w:p w14:paraId="19791FCA">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应急措施</w:t>
            </w:r>
          </w:p>
        </w:tc>
        <w:tc>
          <w:tcPr>
            <w:tcW w:w="4263" w:type="pct"/>
            <w:gridSpan w:val="3"/>
            <w:tcBorders>
              <w:top w:val="single" w:color="000000" w:sz="4" w:space="0"/>
              <w:left w:val="single" w:color="000000" w:sz="4" w:space="0"/>
              <w:bottom w:val="single" w:color="000000" w:sz="4" w:space="0"/>
            </w:tcBorders>
            <w:vAlign w:val="center"/>
          </w:tcPr>
          <w:p w14:paraId="2144F32F">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1.发生火灾时，迅速使用起火现场的灭火器等设备进行灭火降温，防止火势蔓延并立即上报；切断火势蔓延的途径，冷却和转移受火势威胁的可燃物，控制燃烧范围；初起火灾，</w:t>
            </w:r>
            <w:r>
              <w:rPr>
                <w:rFonts w:ascii="Times New Roman" w:hAnsi="Times New Roman" w:cs="黑体"/>
                <w:snapToGrid w:val="0"/>
                <w:color w:val="000000"/>
                <w:kern w:val="0"/>
                <w:sz w:val="18"/>
                <w:szCs w:val="18"/>
              </w:rPr>
              <w:t>立即切断相关的电源和气源</w:t>
            </w:r>
            <w:r>
              <w:rPr>
                <w:rFonts w:hint="eastAsia" w:ascii="Times New Roman" w:hAnsi="Times New Roman" w:cs="黑体"/>
                <w:snapToGrid w:val="0"/>
                <w:color w:val="000000"/>
                <w:kern w:val="0"/>
                <w:sz w:val="18"/>
                <w:szCs w:val="18"/>
              </w:rPr>
              <w:t>；扑救人员必须佩戴防毒面具，采取防护措施；如有人员受伤，应以先抢救伤员为主，对重伤者要立即送往医院；火灾扑灭后，应留有人员观察现场情况，防止复燃。若火势难以控制，现场负责人或班组长指定专人组织无关人员向上侧风方向疏散，落实火灾危险区域隔离措施，同时拨打119报警。</w:t>
            </w:r>
          </w:p>
          <w:p w14:paraId="66AE6385">
            <w:pPr>
              <w:widowControl/>
              <w:wordWrap w:val="0"/>
              <w:topLinePunct/>
              <w:autoSpaceDE w:val="0"/>
              <w:autoSpaceDN w:val="0"/>
              <w:snapToGrid w:val="0"/>
              <w:spacing w:line="240" w:lineRule="auto"/>
              <w:textAlignment w:val="baseline"/>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2.发生其他爆炸、容器爆炸时，爆炸现场的操作人员应立即撤出事故现场并上报，同时拨打119报警。消防应急人员赶到现场后，在确认安全的前提下设法关闭阀门，切断气源，对罐区进行保护。爆炸后发生的火灾事故，按火灾事故应急处置的方法进行处置。</w:t>
            </w:r>
          </w:p>
          <w:p w14:paraId="786FBC77">
            <w:pPr>
              <w:widowControl/>
              <w:wordWrap w:val="0"/>
              <w:topLinePunct/>
              <w:autoSpaceDE w:val="0"/>
              <w:autoSpaceDN w:val="0"/>
              <w:snapToGrid w:val="0"/>
              <w:spacing w:line="240" w:lineRule="auto"/>
              <w:textAlignment w:val="baseline"/>
              <w:rPr>
                <w:rFonts w:ascii="宋体" w:hAnsi="宋体" w:cs="宋体"/>
                <w:snapToGrid w:val="0"/>
                <w:color w:val="000000"/>
                <w:kern w:val="0"/>
                <w:sz w:val="18"/>
                <w:szCs w:val="18"/>
              </w:rPr>
            </w:pPr>
            <w:r>
              <w:rPr>
                <w:rFonts w:hint="eastAsia" w:ascii="Times New Roman" w:hAnsi="Times New Roman" w:cs="黑体"/>
                <w:snapToGrid w:val="0"/>
                <w:color w:val="000000"/>
                <w:kern w:val="0"/>
                <w:sz w:val="18"/>
                <w:szCs w:val="18"/>
              </w:rPr>
              <w:t>3.发生中毒和窒息事故时，立刻加强通风，发现者立即向周围人员呼救，救援人员进入危险区域前必须佩戴防毒面具，迅速将伤者转移到安全、通风的地方，及时送至医院接受救治；若呼吸已经停止，应立即进行心肺复苏抢救。</w:t>
            </w:r>
          </w:p>
        </w:tc>
      </w:tr>
      <w:tr w14:paraId="33B93F3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36" w:type="pct"/>
            <w:tcBorders>
              <w:top w:val="single" w:color="000000" w:sz="4" w:space="0"/>
              <w:bottom w:val="single" w:color="000000" w:sz="4" w:space="0"/>
              <w:right w:val="single" w:color="000000" w:sz="4" w:space="0"/>
            </w:tcBorders>
            <w:shd w:val="clear" w:color="auto" w:fill="DCD8C2"/>
            <w:vAlign w:val="center"/>
          </w:tcPr>
          <w:p w14:paraId="3E044A26">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安全警示标识</w:t>
            </w:r>
          </w:p>
        </w:tc>
        <w:tc>
          <w:tcPr>
            <w:tcW w:w="4263" w:type="pct"/>
            <w:gridSpan w:val="3"/>
            <w:tcBorders>
              <w:top w:val="single" w:color="000000" w:sz="4" w:space="0"/>
              <w:left w:val="single" w:color="000000" w:sz="4" w:space="0"/>
              <w:bottom w:val="single" w:color="000000" w:sz="4" w:space="0"/>
            </w:tcBorders>
            <w:vAlign w:val="center"/>
          </w:tcPr>
          <w:p w14:paraId="6B68E466">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b/>
                <w:sz w:val="18"/>
                <w:szCs w:val="18"/>
              </w:rPr>
              <w:drawing>
                <wp:inline distT="0" distB="0" distL="114300" distR="114300">
                  <wp:extent cx="454025" cy="575945"/>
                  <wp:effectExtent l="0" t="0" r="3175" b="14605"/>
                  <wp:docPr id="17"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56"/>
                          <pic:cNvPicPr>
                            <a:picLocks noChangeAspect="1"/>
                          </pic:cNvPicPr>
                        </pic:nvPicPr>
                        <pic:blipFill>
                          <a:blip r:embed="rId48" cstate="print"/>
                          <a:stretch>
                            <a:fillRect/>
                          </a:stretch>
                        </pic:blipFill>
                        <pic:spPr>
                          <a:xfrm>
                            <a:off x="0" y="0"/>
                            <a:ext cx="454025" cy="575945"/>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454025" cy="575945"/>
                  <wp:effectExtent l="0" t="0" r="3175" b="14605"/>
                  <wp:docPr id="18"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56"/>
                          <pic:cNvPicPr>
                            <a:picLocks noChangeAspect="1"/>
                          </pic:cNvPicPr>
                        </pic:nvPicPr>
                        <pic:blipFill>
                          <a:blip r:embed="rId49" cstate="print"/>
                          <a:stretch>
                            <a:fillRect/>
                          </a:stretch>
                        </pic:blipFill>
                        <pic:spPr>
                          <a:xfrm>
                            <a:off x="0" y="0"/>
                            <a:ext cx="454025" cy="575945"/>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454025" cy="575945"/>
                  <wp:effectExtent l="0" t="0" r="3175" b="14605"/>
                  <wp:docPr id="19" name="图片 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56"/>
                          <pic:cNvPicPr>
                            <a:picLocks noChangeAspect="1"/>
                          </pic:cNvPicPr>
                        </pic:nvPicPr>
                        <pic:blipFill>
                          <a:blip r:embed="rId50" cstate="print"/>
                          <a:stretch>
                            <a:fillRect/>
                          </a:stretch>
                        </pic:blipFill>
                        <pic:spPr>
                          <a:xfrm>
                            <a:off x="0" y="0"/>
                            <a:ext cx="454025" cy="575945"/>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434340" cy="575945"/>
                  <wp:effectExtent l="0" t="0" r="3810" b="14605"/>
                  <wp:docPr id="20"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6"/>
                          <pic:cNvPicPr>
                            <a:picLocks noChangeAspect="1"/>
                          </pic:cNvPicPr>
                        </pic:nvPicPr>
                        <pic:blipFill>
                          <a:blip r:embed="rId51" cstate="print"/>
                          <a:stretch>
                            <a:fillRect/>
                          </a:stretch>
                        </pic:blipFill>
                        <pic:spPr>
                          <a:xfrm>
                            <a:off x="0" y="0"/>
                            <a:ext cx="434340" cy="575945"/>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454025" cy="575945"/>
                  <wp:effectExtent l="0" t="0" r="3175" b="14605"/>
                  <wp:docPr id="21"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56"/>
                          <pic:cNvPicPr>
                            <a:picLocks noChangeAspect="1"/>
                          </pic:cNvPicPr>
                        </pic:nvPicPr>
                        <pic:blipFill>
                          <a:blip r:embed="rId52" cstate="print"/>
                          <a:stretch>
                            <a:fillRect/>
                          </a:stretch>
                        </pic:blipFill>
                        <pic:spPr>
                          <a:xfrm>
                            <a:off x="0" y="0"/>
                            <a:ext cx="454025" cy="575945"/>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443230" cy="575945"/>
                  <wp:effectExtent l="0" t="0" r="13970" b="14605"/>
                  <wp:docPr id="22"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56"/>
                          <pic:cNvPicPr>
                            <a:picLocks noChangeAspect="1"/>
                          </pic:cNvPicPr>
                        </pic:nvPicPr>
                        <pic:blipFill>
                          <a:blip r:embed="rId53" cstate="print"/>
                          <a:stretch>
                            <a:fillRect/>
                          </a:stretch>
                        </pic:blipFill>
                        <pic:spPr>
                          <a:xfrm>
                            <a:off x="0" y="0"/>
                            <a:ext cx="443230" cy="575945"/>
                          </a:xfrm>
                          <a:prstGeom prst="rect">
                            <a:avLst/>
                          </a:prstGeom>
                          <a:noFill/>
                          <a:ln>
                            <a:noFill/>
                          </a:ln>
                        </pic:spPr>
                      </pic:pic>
                    </a:graphicData>
                  </a:graphic>
                </wp:inline>
              </w:drawing>
            </w:r>
            <w:r>
              <w:rPr>
                <w:rFonts w:hint="eastAsia" w:ascii="宋体" w:hAnsi="宋体" w:cs="宋体"/>
                <w:sz w:val="18"/>
                <w:szCs w:val="24"/>
              </w:rPr>
              <w:drawing>
                <wp:inline distT="0" distB="0" distL="114300" distR="114300">
                  <wp:extent cx="443230" cy="575945"/>
                  <wp:effectExtent l="0" t="0" r="13970" b="14605"/>
                  <wp:docPr id="23" name="图片 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56"/>
                          <pic:cNvPicPr>
                            <a:picLocks noChangeAspect="1"/>
                          </pic:cNvPicPr>
                        </pic:nvPicPr>
                        <pic:blipFill>
                          <a:blip r:embed="rId54" cstate="print"/>
                          <a:stretch>
                            <a:fillRect/>
                          </a:stretch>
                        </pic:blipFill>
                        <pic:spPr>
                          <a:xfrm>
                            <a:off x="0" y="0"/>
                            <a:ext cx="443230" cy="575945"/>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443230" cy="575945"/>
                  <wp:effectExtent l="0" t="0" r="13970" b="14605"/>
                  <wp:docPr id="24"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56"/>
                          <pic:cNvPicPr>
                            <a:picLocks noChangeAspect="1"/>
                          </pic:cNvPicPr>
                        </pic:nvPicPr>
                        <pic:blipFill>
                          <a:blip r:embed="rId55" cstate="print"/>
                          <a:stretch>
                            <a:fillRect/>
                          </a:stretch>
                        </pic:blipFill>
                        <pic:spPr>
                          <a:xfrm>
                            <a:off x="0" y="0"/>
                            <a:ext cx="443230" cy="575945"/>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452755" cy="575945"/>
                  <wp:effectExtent l="0" t="0" r="4445" b="14605"/>
                  <wp:docPr id="25"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56"/>
                          <pic:cNvPicPr>
                            <a:picLocks noChangeAspect="1"/>
                          </pic:cNvPicPr>
                        </pic:nvPicPr>
                        <pic:blipFill>
                          <a:blip r:embed="rId56" cstate="print"/>
                          <a:stretch>
                            <a:fillRect/>
                          </a:stretch>
                        </pic:blipFill>
                        <pic:spPr>
                          <a:xfrm>
                            <a:off x="0" y="0"/>
                            <a:ext cx="452755" cy="575945"/>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452755" cy="575945"/>
                  <wp:effectExtent l="0" t="0" r="4445" b="14605"/>
                  <wp:docPr id="26" name="图片 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56"/>
                          <pic:cNvPicPr>
                            <a:picLocks noChangeAspect="1"/>
                          </pic:cNvPicPr>
                        </pic:nvPicPr>
                        <pic:blipFill>
                          <a:blip r:embed="rId57" cstate="print"/>
                          <a:stretch>
                            <a:fillRect/>
                          </a:stretch>
                        </pic:blipFill>
                        <pic:spPr>
                          <a:xfrm>
                            <a:off x="0" y="0"/>
                            <a:ext cx="452755" cy="575945"/>
                          </a:xfrm>
                          <a:prstGeom prst="rect">
                            <a:avLst/>
                          </a:prstGeom>
                          <a:noFill/>
                          <a:ln>
                            <a:noFill/>
                          </a:ln>
                        </pic:spPr>
                      </pic:pic>
                    </a:graphicData>
                  </a:graphic>
                </wp:inline>
              </w:drawing>
            </w:r>
            <w:r>
              <w:rPr>
                <w:rFonts w:hint="eastAsia" w:ascii="宋体" w:hAnsi="宋体" w:cs="宋体"/>
                <w:b/>
                <w:sz w:val="18"/>
                <w:szCs w:val="18"/>
              </w:rPr>
              <w:drawing>
                <wp:inline distT="0" distB="0" distL="114300" distR="114300">
                  <wp:extent cx="453390" cy="575945"/>
                  <wp:effectExtent l="0" t="0" r="3810" b="14605"/>
                  <wp:docPr id="27" name="图片 2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56"/>
                          <pic:cNvPicPr>
                            <a:picLocks noChangeAspect="1"/>
                          </pic:cNvPicPr>
                        </pic:nvPicPr>
                        <pic:blipFill>
                          <a:blip r:embed="rId58" cstate="print"/>
                          <a:stretch>
                            <a:fillRect/>
                          </a:stretch>
                        </pic:blipFill>
                        <pic:spPr>
                          <a:xfrm>
                            <a:off x="0" y="0"/>
                            <a:ext cx="453390" cy="575945"/>
                          </a:xfrm>
                          <a:prstGeom prst="rect">
                            <a:avLst/>
                          </a:prstGeom>
                          <a:noFill/>
                          <a:ln>
                            <a:noFill/>
                          </a:ln>
                        </pic:spPr>
                      </pic:pic>
                    </a:graphicData>
                  </a:graphic>
                </wp:inline>
              </w:drawing>
            </w:r>
          </w:p>
        </w:tc>
      </w:tr>
      <w:tr w14:paraId="69D520D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36" w:type="pct"/>
            <w:tcBorders>
              <w:top w:val="single" w:color="000000" w:sz="4" w:space="0"/>
              <w:bottom w:val="single" w:color="000000" w:sz="4" w:space="0"/>
              <w:right w:val="single" w:color="000000" w:sz="4" w:space="0"/>
            </w:tcBorders>
            <w:shd w:val="clear" w:color="auto" w:fill="DCD8C2"/>
            <w:vAlign w:val="center"/>
          </w:tcPr>
          <w:p w14:paraId="0E17807A">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责任人</w:t>
            </w:r>
          </w:p>
        </w:tc>
        <w:tc>
          <w:tcPr>
            <w:tcW w:w="1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610D2">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Times New Roman" w:hAnsi="Times New Roman" w:cs="黑体"/>
                <w:snapToGrid w:val="0"/>
                <w:color w:val="000000"/>
                <w:kern w:val="0"/>
                <w:sz w:val="18"/>
                <w:szCs w:val="18"/>
              </w:rPr>
              <w:t>张三</w:t>
            </w:r>
          </w:p>
        </w:tc>
        <w:tc>
          <w:tcPr>
            <w:tcW w:w="931" w:type="pct"/>
            <w:tcBorders>
              <w:top w:val="single" w:color="000000" w:sz="4" w:space="0"/>
              <w:left w:val="single" w:color="000000" w:sz="4" w:space="0"/>
              <w:bottom w:val="single" w:color="000000" w:sz="4" w:space="0"/>
              <w:right w:val="single" w:color="000000" w:sz="4" w:space="0"/>
            </w:tcBorders>
            <w:shd w:val="clear" w:color="auto" w:fill="DCD8C2"/>
            <w:vAlign w:val="center"/>
          </w:tcPr>
          <w:p w14:paraId="7EA80EFF">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电话</w:t>
            </w:r>
          </w:p>
        </w:tc>
        <w:tc>
          <w:tcPr>
            <w:tcW w:w="1668" w:type="pct"/>
            <w:tcBorders>
              <w:top w:val="single" w:color="000000" w:sz="4" w:space="0"/>
              <w:left w:val="single" w:color="000000" w:sz="4" w:space="0"/>
              <w:bottom w:val="single" w:color="000000" w:sz="4" w:space="0"/>
            </w:tcBorders>
            <w:vAlign w:val="center"/>
          </w:tcPr>
          <w:p w14:paraId="40000239">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ascii="Times New Roman" w:hAnsi="Times New Roman"/>
                <w:snapToGrid w:val="0"/>
                <w:color w:val="000000"/>
                <w:kern w:val="0"/>
                <w:sz w:val="18"/>
                <w:szCs w:val="18"/>
              </w:rPr>
              <w:t>1XXXXXXXXXX</w:t>
            </w:r>
          </w:p>
        </w:tc>
      </w:tr>
      <w:tr w14:paraId="5578AD7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736" w:type="pct"/>
            <w:tcBorders>
              <w:top w:val="single" w:color="000000" w:sz="4" w:space="0"/>
              <w:right w:val="single" w:color="000000" w:sz="4" w:space="0"/>
            </w:tcBorders>
            <w:shd w:val="clear" w:color="auto" w:fill="DCD8C2"/>
            <w:vAlign w:val="center"/>
          </w:tcPr>
          <w:p w14:paraId="64F3FD5E">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消防报警电话</w:t>
            </w:r>
          </w:p>
        </w:tc>
        <w:tc>
          <w:tcPr>
            <w:tcW w:w="1663" w:type="pct"/>
            <w:tcBorders>
              <w:top w:val="single" w:color="000000" w:sz="4" w:space="0"/>
              <w:left w:val="single" w:color="000000" w:sz="4" w:space="0"/>
              <w:right w:val="single" w:color="000000" w:sz="4" w:space="0"/>
            </w:tcBorders>
            <w:shd w:val="clear" w:color="auto" w:fill="auto"/>
            <w:vAlign w:val="center"/>
          </w:tcPr>
          <w:p w14:paraId="403D213E">
            <w:pPr>
              <w:widowControl/>
              <w:wordWrap w:val="0"/>
              <w:topLinePunct/>
              <w:autoSpaceDE w:val="0"/>
              <w:autoSpaceDN w:val="0"/>
              <w:snapToGrid w:val="0"/>
              <w:spacing w:line="240" w:lineRule="auto"/>
              <w:jc w:val="center"/>
              <w:textAlignment w:val="center"/>
              <w:rPr>
                <w:rFonts w:ascii="Times New Roman" w:hAnsi="Times New Roman" w:cs="黑体"/>
                <w:snapToGrid w:val="0"/>
                <w:color w:val="000000"/>
                <w:kern w:val="0"/>
                <w:sz w:val="18"/>
                <w:szCs w:val="18"/>
              </w:rPr>
            </w:pPr>
            <w:r>
              <w:rPr>
                <w:rFonts w:hint="eastAsia" w:ascii="Times New Roman" w:hAnsi="Times New Roman" w:cs="黑体"/>
                <w:snapToGrid w:val="0"/>
                <w:color w:val="000000"/>
                <w:kern w:val="0"/>
                <w:sz w:val="18"/>
                <w:szCs w:val="18"/>
              </w:rPr>
              <w:t>119</w:t>
            </w:r>
          </w:p>
        </w:tc>
        <w:tc>
          <w:tcPr>
            <w:tcW w:w="931" w:type="pct"/>
            <w:tcBorders>
              <w:top w:val="single" w:color="000000" w:sz="4" w:space="0"/>
              <w:left w:val="single" w:color="000000" w:sz="4" w:space="0"/>
              <w:right w:val="single" w:color="000000" w:sz="4" w:space="0"/>
            </w:tcBorders>
            <w:shd w:val="clear" w:color="auto" w:fill="DCD8C2"/>
            <w:vAlign w:val="center"/>
          </w:tcPr>
          <w:p w14:paraId="18EF12BD">
            <w:pPr>
              <w:widowControl/>
              <w:wordWrap w:val="0"/>
              <w:topLinePunct/>
              <w:autoSpaceDE w:val="0"/>
              <w:autoSpaceDN w:val="0"/>
              <w:snapToGrid w:val="0"/>
              <w:spacing w:line="240" w:lineRule="auto"/>
              <w:jc w:val="center"/>
              <w:textAlignment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医院急救电话</w:t>
            </w:r>
          </w:p>
        </w:tc>
        <w:tc>
          <w:tcPr>
            <w:tcW w:w="1668" w:type="pct"/>
            <w:tcBorders>
              <w:top w:val="single" w:color="000000" w:sz="4" w:space="0"/>
              <w:left w:val="single" w:color="000000" w:sz="4" w:space="0"/>
            </w:tcBorders>
            <w:vAlign w:val="center"/>
          </w:tcPr>
          <w:p w14:paraId="4A35B2BD">
            <w:pPr>
              <w:widowControl/>
              <w:wordWrap w:val="0"/>
              <w:topLinePunct/>
              <w:autoSpaceDE w:val="0"/>
              <w:autoSpaceDN w:val="0"/>
              <w:snapToGrid w:val="0"/>
              <w:spacing w:line="240" w:lineRule="auto"/>
              <w:jc w:val="center"/>
              <w:textAlignment w:val="center"/>
              <w:rPr>
                <w:rFonts w:ascii="Times New Roman" w:hAnsi="Times New Roman"/>
                <w:snapToGrid w:val="0"/>
                <w:color w:val="000000"/>
                <w:kern w:val="0"/>
                <w:sz w:val="18"/>
                <w:szCs w:val="18"/>
              </w:rPr>
            </w:pPr>
            <w:r>
              <w:rPr>
                <w:rFonts w:hint="eastAsia" w:ascii="Times New Roman" w:hAnsi="Times New Roman"/>
                <w:snapToGrid w:val="0"/>
                <w:color w:val="000000"/>
                <w:kern w:val="0"/>
                <w:sz w:val="18"/>
                <w:szCs w:val="18"/>
              </w:rPr>
              <w:t>120</w:t>
            </w:r>
          </w:p>
        </w:tc>
      </w:tr>
    </w:tbl>
    <w:p w14:paraId="69572E9E">
      <w:pPr>
        <w:pStyle w:val="51"/>
        <w:ind w:firstLine="420"/>
        <w:sectPr>
          <w:pgSz w:w="11906" w:h="16838"/>
          <w:pgMar w:top="1928" w:right="1134" w:bottom="1134" w:left="1134" w:header="1418" w:footer="1134" w:gutter="283"/>
          <w:cols w:space="720" w:num="1"/>
          <w:formProt w:val="0"/>
          <w:docGrid w:type="lines" w:linePitch="316" w:charSpace="0"/>
        </w:sectPr>
      </w:pPr>
    </w:p>
    <w:p w14:paraId="7AB923BC">
      <w:pPr>
        <w:pStyle w:val="169"/>
      </w:pPr>
    </w:p>
    <w:p w14:paraId="26EC2DC3">
      <w:pPr>
        <w:pStyle w:val="127"/>
      </w:pPr>
    </w:p>
    <w:p w14:paraId="1358BE0B">
      <w:pPr>
        <w:pStyle w:val="144"/>
        <w:spacing w:before="79" w:after="158"/>
      </w:pPr>
      <w:bookmarkStart w:id="128" w:name="_Toc17274"/>
      <w:bookmarkStart w:id="129" w:name="_Toc43"/>
      <w:r>
        <w:rPr>
          <w:rFonts w:hint="eastAsia"/>
        </w:rPr>
        <w:br w:type="textWrapping"/>
      </w:r>
      <w:r>
        <w:rPr>
          <w:rFonts w:hint="eastAsia"/>
        </w:rPr>
        <w:t>（资料性）</w:t>
      </w:r>
      <w:r>
        <w:rPr>
          <w:rFonts w:hint="eastAsia"/>
        </w:rPr>
        <w:br w:type="textWrapping"/>
      </w:r>
      <w:r>
        <w:rPr>
          <w:rFonts w:hint="eastAsia"/>
        </w:rPr>
        <w:t>隐患排查治理记录表单</w:t>
      </w:r>
      <w:bookmarkEnd w:id="128"/>
      <w:bookmarkEnd w:id="129"/>
    </w:p>
    <w:p w14:paraId="07C6D7EA">
      <w:pPr>
        <w:pStyle w:val="147"/>
        <w:spacing w:before="158" w:after="158"/>
      </w:pPr>
      <w:r>
        <w:rPr>
          <w:rFonts w:hint="eastAsia"/>
        </w:rPr>
        <w:t>隐患排查清单</w:t>
      </w:r>
    </w:p>
    <w:p w14:paraId="38AF9184">
      <w:pPr>
        <w:autoSpaceDE w:val="0"/>
        <w:autoSpaceDN w:val="0"/>
        <w:adjustRightInd/>
        <w:spacing w:line="240" w:lineRule="auto"/>
      </w:pPr>
      <w:r>
        <w:rPr>
          <w:rFonts w:hint="eastAsia" w:ascii="宋体" w:hAnsi="Times New Roman"/>
          <w:sz w:val="18"/>
          <w:szCs w:val="16"/>
        </w:rPr>
        <w:t>排查类型：              排查层级：                责任人：                排查频次：</w:t>
      </w:r>
    </w:p>
    <w:tbl>
      <w:tblPr>
        <w:tblStyle w:val="27"/>
        <w:tblW w:w="499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802"/>
        <w:gridCol w:w="1248"/>
        <w:gridCol w:w="1231"/>
        <w:gridCol w:w="1254"/>
        <w:gridCol w:w="1236"/>
        <w:gridCol w:w="1311"/>
        <w:gridCol w:w="762"/>
      </w:tblGrid>
      <w:tr w14:paraId="1D7517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77" w:type="pct"/>
            <w:vMerge w:val="restart"/>
            <w:vAlign w:val="center"/>
          </w:tcPr>
          <w:p w14:paraId="1EF3FC5C">
            <w:pPr>
              <w:adjustRightInd/>
              <w:spacing w:line="240" w:lineRule="auto"/>
              <w:jc w:val="center"/>
              <w:rPr>
                <w:rFonts w:ascii="宋体" w:hAnsi="宋体" w:cs="宋体"/>
                <w:bCs/>
                <w:sz w:val="18"/>
                <w:szCs w:val="18"/>
              </w:rPr>
            </w:pPr>
            <w:r>
              <w:rPr>
                <w:rFonts w:hint="eastAsia" w:ascii="宋体" w:hAnsi="宋体" w:cs="宋体"/>
                <w:bCs/>
                <w:sz w:val="18"/>
                <w:szCs w:val="18"/>
              </w:rPr>
              <w:t>序号</w:t>
            </w:r>
          </w:p>
        </w:tc>
        <w:tc>
          <w:tcPr>
            <w:tcW w:w="942" w:type="pct"/>
            <w:vMerge w:val="restart"/>
            <w:vAlign w:val="center"/>
          </w:tcPr>
          <w:p w14:paraId="5656CC10">
            <w:pPr>
              <w:adjustRightInd/>
              <w:spacing w:line="240" w:lineRule="auto"/>
              <w:jc w:val="center"/>
              <w:rPr>
                <w:rFonts w:ascii="宋体" w:hAnsi="宋体" w:cs="宋体"/>
                <w:bCs/>
                <w:sz w:val="18"/>
                <w:szCs w:val="18"/>
              </w:rPr>
            </w:pPr>
            <w:r>
              <w:rPr>
                <w:rFonts w:hint="eastAsia" w:ascii="宋体" w:hAnsi="宋体" w:cs="宋体"/>
                <w:bCs/>
                <w:sz w:val="18"/>
                <w:szCs w:val="18"/>
              </w:rPr>
              <w:t>危险源辨识单元</w:t>
            </w:r>
          </w:p>
        </w:tc>
        <w:tc>
          <w:tcPr>
            <w:tcW w:w="3281" w:type="pct"/>
            <w:gridSpan w:val="5"/>
            <w:vAlign w:val="center"/>
          </w:tcPr>
          <w:p w14:paraId="154B71FC">
            <w:pPr>
              <w:adjustRightInd/>
              <w:spacing w:line="240" w:lineRule="auto"/>
              <w:jc w:val="center"/>
              <w:rPr>
                <w:rFonts w:ascii="宋体" w:hAnsi="宋体" w:cs="宋体"/>
                <w:bCs/>
                <w:sz w:val="18"/>
                <w:szCs w:val="18"/>
              </w:rPr>
            </w:pPr>
            <w:r>
              <w:rPr>
                <w:rFonts w:hint="eastAsia" w:ascii="宋体" w:hAnsi="宋体" w:cs="宋体"/>
                <w:bCs/>
                <w:sz w:val="18"/>
                <w:szCs w:val="18"/>
              </w:rPr>
              <w:t>排查内容</w:t>
            </w:r>
          </w:p>
        </w:tc>
        <w:tc>
          <w:tcPr>
            <w:tcW w:w="398" w:type="pct"/>
            <w:vMerge w:val="restart"/>
            <w:vAlign w:val="center"/>
          </w:tcPr>
          <w:p w14:paraId="02C56AE9">
            <w:pPr>
              <w:adjustRightInd/>
              <w:spacing w:line="240" w:lineRule="auto"/>
              <w:jc w:val="center"/>
              <w:rPr>
                <w:rFonts w:ascii="宋体" w:hAnsi="宋体" w:cs="宋体"/>
                <w:bCs/>
                <w:sz w:val="18"/>
                <w:szCs w:val="18"/>
              </w:rPr>
            </w:pPr>
            <w:r>
              <w:rPr>
                <w:rFonts w:hint="eastAsia" w:ascii="宋体" w:hAnsi="宋体" w:cs="宋体"/>
                <w:bCs/>
                <w:sz w:val="18"/>
                <w:szCs w:val="18"/>
              </w:rPr>
              <w:t>备注</w:t>
            </w:r>
          </w:p>
        </w:tc>
      </w:tr>
      <w:tr w14:paraId="5CB404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77" w:type="pct"/>
            <w:vMerge w:val="continue"/>
            <w:tcBorders>
              <w:bottom w:val="single" w:color="auto" w:sz="8" w:space="0"/>
            </w:tcBorders>
            <w:vAlign w:val="center"/>
          </w:tcPr>
          <w:p w14:paraId="5C2B5F84">
            <w:pPr>
              <w:adjustRightInd/>
              <w:spacing w:line="240" w:lineRule="auto"/>
              <w:jc w:val="center"/>
              <w:rPr>
                <w:rFonts w:ascii="仿宋_GB2312" w:hAnsi="Times New Roman" w:eastAsia="仿宋_GB2312"/>
                <w:b/>
                <w:sz w:val="32"/>
                <w:szCs w:val="32"/>
              </w:rPr>
            </w:pPr>
          </w:p>
        </w:tc>
        <w:tc>
          <w:tcPr>
            <w:tcW w:w="942" w:type="pct"/>
            <w:vMerge w:val="continue"/>
            <w:tcBorders>
              <w:bottom w:val="single" w:color="auto" w:sz="8" w:space="0"/>
            </w:tcBorders>
            <w:vAlign w:val="center"/>
          </w:tcPr>
          <w:p w14:paraId="41B51570">
            <w:pPr>
              <w:adjustRightInd/>
              <w:spacing w:line="240" w:lineRule="auto"/>
              <w:jc w:val="center"/>
              <w:rPr>
                <w:rFonts w:ascii="仿宋_GB2312" w:hAnsi="Times New Roman" w:eastAsia="仿宋_GB2312"/>
                <w:b/>
                <w:sz w:val="32"/>
                <w:szCs w:val="32"/>
              </w:rPr>
            </w:pPr>
          </w:p>
        </w:tc>
        <w:tc>
          <w:tcPr>
            <w:tcW w:w="652" w:type="pct"/>
            <w:tcBorders>
              <w:bottom w:val="single" w:color="auto" w:sz="8" w:space="0"/>
            </w:tcBorders>
            <w:vAlign w:val="center"/>
          </w:tcPr>
          <w:p w14:paraId="5B068637">
            <w:pPr>
              <w:adjustRightInd/>
              <w:spacing w:line="240" w:lineRule="auto"/>
              <w:jc w:val="center"/>
              <w:rPr>
                <w:rFonts w:ascii="宋体" w:hAnsi="宋体" w:cs="宋体"/>
                <w:bCs/>
                <w:sz w:val="18"/>
                <w:szCs w:val="18"/>
              </w:rPr>
            </w:pPr>
            <w:r>
              <w:rPr>
                <w:rFonts w:hint="eastAsia" w:ascii="宋体" w:hAnsi="宋体" w:cs="宋体"/>
                <w:sz w:val="18"/>
                <w:szCs w:val="18"/>
              </w:rPr>
              <w:t>工程技术</w:t>
            </w:r>
          </w:p>
        </w:tc>
        <w:tc>
          <w:tcPr>
            <w:tcW w:w="643" w:type="pct"/>
            <w:tcBorders>
              <w:bottom w:val="single" w:color="auto" w:sz="8" w:space="0"/>
            </w:tcBorders>
            <w:vAlign w:val="center"/>
          </w:tcPr>
          <w:p w14:paraId="43753015">
            <w:pPr>
              <w:adjustRightInd/>
              <w:spacing w:line="240" w:lineRule="auto"/>
              <w:jc w:val="center"/>
              <w:rPr>
                <w:rFonts w:ascii="宋体" w:hAnsi="宋体" w:cs="宋体"/>
                <w:bCs/>
                <w:sz w:val="18"/>
                <w:szCs w:val="18"/>
              </w:rPr>
            </w:pPr>
            <w:r>
              <w:rPr>
                <w:rFonts w:hint="eastAsia" w:ascii="宋体" w:hAnsi="宋体" w:cs="宋体"/>
                <w:sz w:val="18"/>
                <w:szCs w:val="18"/>
              </w:rPr>
              <w:t>安全管理</w:t>
            </w:r>
          </w:p>
        </w:tc>
        <w:tc>
          <w:tcPr>
            <w:tcW w:w="655" w:type="pct"/>
            <w:tcBorders>
              <w:bottom w:val="single" w:color="auto" w:sz="8" w:space="0"/>
            </w:tcBorders>
            <w:vAlign w:val="center"/>
          </w:tcPr>
          <w:p w14:paraId="20C0511C">
            <w:pPr>
              <w:adjustRightInd/>
              <w:spacing w:line="240" w:lineRule="auto"/>
              <w:jc w:val="center"/>
              <w:rPr>
                <w:rFonts w:ascii="宋体" w:hAnsi="宋体" w:cs="宋体"/>
                <w:bCs/>
                <w:sz w:val="18"/>
                <w:szCs w:val="18"/>
              </w:rPr>
            </w:pPr>
            <w:r>
              <w:rPr>
                <w:rFonts w:hint="eastAsia" w:ascii="宋体" w:hAnsi="宋体" w:cs="宋体"/>
                <w:sz w:val="18"/>
                <w:szCs w:val="18"/>
              </w:rPr>
              <w:t>培训教育</w:t>
            </w:r>
          </w:p>
        </w:tc>
        <w:tc>
          <w:tcPr>
            <w:tcW w:w="646" w:type="pct"/>
            <w:tcBorders>
              <w:bottom w:val="single" w:color="auto" w:sz="8" w:space="0"/>
            </w:tcBorders>
            <w:vAlign w:val="center"/>
          </w:tcPr>
          <w:p w14:paraId="0423DCFE">
            <w:pPr>
              <w:adjustRightInd/>
              <w:spacing w:line="240" w:lineRule="auto"/>
              <w:jc w:val="center"/>
              <w:rPr>
                <w:rFonts w:ascii="宋体" w:hAnsi="宋体" w:cs="宋体"/>
                <w:bCs/>
                <w:sz w:val="18"/>
                <w:szCs w:val="18"/>
              </w:rPr>
            </w:pPr>
            <w:r>
              <w:rPr>
                <w:rFonts w:hint="eastAsia" w:ascii="宋体" w:hAnsi="宋体" w:cs="宋体"/>
                <w:sz w:val="18"/>
                <w:szCs w:val="18"/>
              </w:rPr>
              <w:t>个体防护</w:t>
            </w:r>
          </w:p>
        </w:tc>
        <w:tc>
          <w:tcPr>
            <w:tcW w:w="684" w:type="pct"/>
            <w:tcBorders>
              <w:bottom w:val="single" w:color="auto" w:sz="8" w:space="0"/>
            </w:tcBorders>
            <w:vAlign w:val="center"/>
          </w:tcPr>
          <w:p w14:paraId="3869C9ED">
            <w:pPr>
              <w:adjustRightInd/>
              <w:spacing w:line="240" w:lineRule="auto"/>
              <w:jc w:val="center"/>
              <w:rPr>
                <w:rFonts w:ascii="宋体" w:hAnsi="宋体" w:cs="宋体"/>
                <w:bCs/>
                <w:sz w:val="18"/>
                <w:szCs w:val="18"/>
              </w:rPr>
            </w:pPr>
            <w:r>
              <w:rPr>
                <w:rFonts w:hint="eastAsia" w:ascii="宋体" w:hAnsi="宋体" w:cs="宋体"/>
                <w:sz w:val="18"/>
                <w:szCs w:val="18"/>
              </w:rPr>
              <w:t>应急处置</w:t>
            </w:r>
          </w:p>
        </w:tc>
        <w:tc>
          <w:tcPr>
            <w:tcW w:w="398" w:type="pct"/>
            <w:vMerge w:val="continue"/>
            <w:tcBorders>
              <w:bottom w:val="single" w:color="auto" w:sz="8" w:space="0"/>
            </w:tcBorders>
            <w:vAlign w:val="center"/>
          </w:tcPr>
          <w:p w14:paraId="52DE420B">
            <w:pPr>
              <w:adjustRightInd/>
              <w:spacing w:line="240" w:lineRule="auto"/>
              <w:jc w:val="center"/>
              <w:rPr>
                <w:rFonts w:ascii="宋体" w:hAnsi="宋体" w:cs="宋体"/>
                <w:bCs/>
                <w:sz w:val="18"/>
                <w:szCs w:val="18"/>
              </w:rPr>
            </w:pPr>
          </w:p>
        </w:tc>
      </w:tr>
      <w:tr w14:paraId="7113CD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7" w:type="pct"/>
            <w:tcBorders>
              <w:top w:val="single" w:color="auto" w:sz="8" w:space="0"/>
            </w:tcBorders>
            <w:vAlign w:val="center"/>
          </w:tcPr>
          <w:p w14:paraId="1940B5D0">
            <w:pPr>
              <w:adjustRightInd/>
              <w:spacing w:line="240" w:lineRule="auto"/>
              <w:jc w:val="center"/>
              <w:rPr>
                <w:rFonts w:ascii="宋体" w:hAnsi="宋体" w:cs="宋体"/>
                <w:bCs/>
                <w:sz w:val="18"/>
                <w:szCs w:val="18"/>
              </w:rPr>
            </w:pPr>
          </w:p>
        </w:tc>
        <w:tc>
          <w:tcPr>
            <w:tcW w:w="942" w:type="pct"/>
            <w:tcBorders>
              <w:top w:val="single" w:color="auto" w:sz="8" w:space="0"/>
            </w:tcBorders>
            <w:vAlign w:val="center"/>
          </w:tcPr>
          <w:p w14:paraId="561D3463">
            <w:pPr>
              <w:adjustRightInd/>
              <w:spacing w:line="240" w:lineRule="auto"/>
              <w:jc w:val="center"/>
              <w:rPr>
                <w:rFonts w:ascii="宋体" w:hAnsi="宋体" w:cs="宋体"/>
                <w:bCs/>
                <w:sz w:val="18"/>
                <w:szCs w:val="18"/>
              </w:rPr>
            </w:pPr>
          </w:p>
        </w:tc>
        <w:tc>
          <w:tcPr>
            <w:tcW w:w="652" w:type="pct"/>
            <w:tcBorders>
              <w:top w:val="single" w:color="auto" w:sz="8" w:space="0"/>
            </w:tcBorders>
            <w:vAlign w:val="center"/>
          </w:tcPr>
          <w:p w14:paraId="50BAFD02">
            <w:pPr>
              <w:adjustRightInd/>
              <w:spacing w:line="240" w:lineRule="auto"/>
              <w:jc w:val="center"/>
              <w:rPr>
                <w:rFonts w:ascii="宋体" w:hAnsi="宋体" w:cs="宋体"/>
                <w:bCs/>
                <w:sz w:val="18"/>
                <w:szCs w:val="18"/>
              </w:rPr>
            </w:pPr>
          </w:p>
        </w:tc>
        <w:tc>
          <w:tcPr>
            <w:tcW w:w="643" w:type="pct"/>
            <w:tcBorders>
              <w:top w:val="single" w:color="auto" w:sz="8" w:space="0"/>
            </w:tcBorders>
            <w:vAlign w:val="center"/>
          </w:tcPr>
          <w:p w14:paraId="08C1C88A">
            <w:pPr>
              <w:adjustRightInd/>
              <w:spacing w:line="240" w:lineRule="auto"/>
              <w:jc w:val="center"/>
              <w:rPr>
                <w:rFonts w:ascii="宋体" w:hAnsi="宋体" w:cs="宋体"/>
                <w:bCs/>
                <w:sz w:val="18"/>
                <w:szCs w:val="18"/>
              </w:rPr>
            </w:pPr>
          </w:p>
        </w:tc>
        <w:tc>
          <w:tcPr>
            <w:tcW w:w="655" w:type="pct"/>
            <w:tcBorders>
              <w:top w:val="single" w:color="auto" w:sz="8" w:space="0"/>
            </w:tcBorders>
            <w:vAlign w:val="center"/>
          </w:tcPr>
          <w:p w14:paraId="729F6C57">
            <w:pPr>
              <w:adjustRightInd/>
              <w:spacing w:line="240" w:lineRule="auto"/>
              <w:jc w:val="center"/>
              <w:rPr>
                <w:rFonts w:ascii="宋体" w:hAnsi="宋体" w:cs="宋体"/>
                <w:bCs/>
                <w:sz w:val="18"/>
                <w:szCs w:val="18"/>
              </w:rPr>
            </w:pPr>
          </w:p>
        </w:tc>
        <w:tc>
          <w:tcPr>
            <w:tcW w:w="646" w:type="pct"/>
            <w:tcBorders>
              <w:top w:val="single" w:color="auto" w:sz="8" w:space="0"/>
            </w:tcBorders>
            <w:vAlign w:val="center"/>
          </w:tcPr>
          <w:p w14:paraId="1F0B2FC9">
            <w:pPr>
              <w:adjustRightInd/>
              <w:spacing w:line="240" w:lineRule="auto"/>
              <w:jc w:val="center"/>
              <w:rPr>
                <w:rFonts w:ascii="宋体" w:hAnsi="宋体" w:cs="宋体"/>
                <w:bCs/>
                <w:sz w:val="18"/>
                <w:szCs w:val="18"/>
              </w:rPr>
            </w:pPr>
          </w:p>
        </w:tc>
        <w:tc>
          <w:tcPr>
            <w:tcW w:w="684" w:type="pct"/>
            <w:tcBorders>
              <w:top w:val="single" w:color="auto" w:sz="8" w:space="0"/>
            </w:tcBorders>
            <w:vAlign w:val="center"/>
          </w:tcPr>
          <w:p w14:paraId="524418E7">
            <w:pPr>
              <w:adjustRightInd/>
              <w:spacing w:line="240" w:lineRule="auto"/>
              <w:jc w:val="center"/>
              <w:rPr>
                <w:rFonts w:ascii="宋体" w:hAnsi="宋体" w:cs="宋体"/>
                <w:bCs/>
                <w:sz w:val="18"/>
                <w:szCs w:val="18"/>
              </w:rPr>
            </w:pPr>
          </w:p>
        </w:tc>
        <w:tc>
          <w:tcPr>
            <w:tcW w:w="398" w:type="pct"/>
            <w:tcBorders>
              <w:top w:val="single" w:color="auto" w:sz="8" w:space="0"/>
            </w:tcBorders>
            <w:vAlign w:val="center"/>
          </w:tcPr>
          <w:p w14:paraId="43A681CE">
            <w:pPr>
              <w:adjustRightInd/>
              <w:spacing w:line="240" w:lineRule="auto"/>
              <w:jc w:val="center"/>
              <w:rPr>
                <w:rFonts w:ascii="宋体" w:hAnsi="宋体" w:cs="宋体"/>
                <w:bCs/>
                <w:sz w:val="18"/>
                <w:szCs w:val="18"/>
              </w:rPr>
            </w:pPr>
          </w:p>
        </w:tc>
      </w:tr>
      <w:tr w14:paraId="5A5306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14:paraId="1A549A7A">
            <w:pPr>
              <w:adjustRightInd/>
              <w:spacing w:line="240" w:lineRule="auto"/>
              <w:jc w:val="center"/>
              <w:rPr>
                <w:rFonts w:ascii="宋体" w:hAnsi="宋体" w:cs="宋体"/>
                <w:bCs/>
                <w:sz w:val="18"/>
                <w:szCs w:val="18"/>
              </w:rPr>
            </w:pPr>
          </w:p>
        </w:tc>
        <w:tc>
          <w:tcPr>
            <w:tcW w:w="942" w:type="pct"/>
            <w:vAlign w:val="center"/>
          </w:tcPr>
          <w:p w14:paraId="1693F72B">
            <w:pPr>
              <w:adjustRightInd/>
              <w:spacing w:line="240" w:lineRule="auto"/>
              <w:jc w:val="center"/>
              <w:rPr>
                <w:rFonts w:ascii="宋体" w:hAnsi="宋体" w:cs="宋体"/>
                <w:bCs/>
                <w:sz w:val="18"/>
                <w:szCs w:val="18"/>
              </w:rPr>
            </w:pPr>
          </w:p>
        </w:tc>
        <w:tc>
          <w:tcPr>
            <w:tcW w:w="652" w:type="pct"/>
            <w:vAlign w:val="center"/>
          </w:tcPr>
          <w:p w14:paraId="247FDB3A">
            <w:pPr>
              <w:widowControl/>
              <w:adjustRightInd/>
              <w:spacing w:line="240" w:lineRule="auto"/>
              <w:jc w:val="center"/>
              <w:rPr>
                <w:rFonts w:ascii="宋体" w:hAnsi="宋体" w:cs="宋体"/>
                <w:bCs/>
                <w:sz w:val="18"/>
                <w:szCs w:val="18"/>
              </w:rPr>
            </w:pPr>
          </w:p>
        </w:tc>
        <w:tc>
          <w:tcPr>
            <w:tcW w:w="643" w:type="pct"/>
            <w:vAlign w:val="center"/>
          </w:tcPr>
          <w:p w14:paraId="00150BCE">
            <w:pPr>
              <w:widowControl/>
              <w:adjustRightInd/>
              <w:spacing w:line="240" w:lineRule="auto"/>
              <w:jc w:val="center"/>
              <w:rPr>
                <w:rFonts w:ascii="宋体" w:hAnsi="宋体" w:cs="宋体"/>
                <w:bCs/>
                <w:sz w:val="18"/>
                <w:szCs w:val="18"/>
              </w:rPr>
            </w:pPr>
          </w:p>
        </w:tc>
        <w:tc>
          <w:tcPr>
            <w:tcW w:w="655" w:type="pct"/>
            <w:vAlign w:val="center"/>
          </w:tcPr>
          <w:p w14:paraId="67A88474">
            <w:pPr>
              <w:widowControl/>
              <w:adjustRightInd/>
              <w:spacing w:line="240" w:lineRule="auto"/>
              <w:jc w:val="center"/>
              <w:rPr>
                <w:rFonts w:ascii="宋体" w:hAnsi="宋体" w:cs="宋体"/>
                <w:bCs/>
                <w:sz w:val="18"/>
                <w:szCs w:val="18"/>
              </w:rPr>
            </w:pPr>
          </w:p>
        </w:tc>
        <w:tc>
          <w:tcPr>
            <w:tcW w:w="646" w:type="pct"/>
            <w:vAlign w:val="center"/>
          </w:tcPr>
          <w:p w14:paraId="2D644469">
            <w:pPr>
              <w:widowControl/>
              <w:adjustRightInd/>
              <w:spacing w:line="240" w:lineRule="auto"/>
              <w:jc w:val="center"/>
              <w:rPr>
                <w:rFonts w:ascii="宋体" w:hAnsi="宋体" w:cs="宋体"/>
                <w:bCs/>
                <w:sz w:val="18"/>
                <w:szCs w:val="18"/>
              </w:rPr>
            </w:pPr>
          </w:p>
        </w:tc>
        <w:tc>
          <w:tcPr>
            <w:tcW w:w="684" w:type="pct"/>
            <w:vAlign w:val="center"/>
          </w:tcPr>
          <w:p w14:paraId="4DBC0127">
            <w:pPr>
              <w:widowControl/>
              <w:adjustRightInd/>
              <w:spacing w:line="240" w:lineRule="auto"/>
              <w:jc w:val="center"/>
              <w:rPr>
                <w:rFonts w:ascii="宋体" w:hAnsi="宋体" w:cs="宋体"/>
                <w:bCs/>
                <w:sz w:val="18"/>
                <w:szCs w:val="18"/>
              </w:rPr>
            </w:pPr>
          </w:p>
        </w:tc>
        <w:tc>
          <w:tcPr>
            <w:tcW w:w="398" w:type="pct"/>
            <w:vAlign w:val="center"/>
          </w:tcPr>
          <w:p w14:paraId="612699CC">
            <w:pPr>
              <w:adjustRightInd/>
              <w:spacing w:line="240" w:lineRule="auto"/>
              <w:jc w:val="center"/>
              <w:rPr>
                <w:rFonts w:ascii="宋体" w:hAnsi="宋体" w:cs="宋体"/>
                <w:bCs/>
                <w:sz w:val="18"/>
                <w:szCs w:val="18"/>
              </w:rPr>
            </w:pPr>
          </w:p>
        </w:tc>
      </w:tr>
      <w:tr w14:paraId="4FE6BE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14:paraId="3D4B3537">
            <w:pPr>
              <w:adjustRightInd/>
              <w:spacing w:line="240" w:lineRule="auto"/>
              <w:jc w:val="center"/>
              <w:rPr>
                <w:rFonts w:ascii="宋体" w:hAnsi="宋体" w:cs="宋体"/>
                <w:bCs/>
                <w:sz w:val="18"/>
                <w:szCs w:val="18"/>
              </w:rPr>
            </w:pPr>
          </w:p>
        </w:tc>
        <w:tc>
          <w:tcPr>
            <w:tcW w:w="942" w:type="pct"/>
            <w:vAlign w:val="center"/>
          </w:tcPr>
          <w:p w14:paraId="33FC5D8B">
            <w:pPr>
              <w:adjustRightInd/>
              <w:spacing w:line="240" w:lineRule="auto"/>
              <w:jc w:val="center"/>
              <w:rPr>
                <w:rFonts w:ascii="宋体" w:hAnsi="宋体" w:cs="宋体"/>
                <w:bCs/>
                <w:sz w:val="18"/>
                <w:szCs w:val="18"/>
              </w:rPr>
            </w:pPr>
          </w:p>
        </w:tc>
        <w:tc>
          <w:tcPr>
            <w:tcW w:w="652" w:type="pct"/>
            <w:vAlign w:val="center"/>
          </w:tcPr>
          <w:p w14:paraId="13DBA05A">
            <w:pPr>
              <w:widowControl/>
              <w:adjustRightInd/>
              <w:spacing w:line="240" w:lineRule="auto"/>
              <w:jc w:val="center"/>
              <w:rPr>
                <w:rFonts w:ascii="宋体" w:hAnsi="宋体" w:cs="宋体"/>
                <w:bCs/>
                <w:sz w:val="18"/>
                <w:szCs w:val="18"/>
              </w:rPr>
            </w:pPr>
          </w:p>
        </w:tc>
        <w:tc>
          <w:tcPr>
            <w:tcW w:w="643" w:type="pct"/>
            <w:vAlign w:val="center"/>
          </w:tcPr>
          <w:p w14:paraId="0F9257FF">
            <w:pPr>
              <w:widowControl/>
              <w:adjustRightInd/>
              <w:spacing w:line="240" w:lineRule="auto"/>
              <w:jc w:val="center"/>
              <w:rPr>
                <w:rFonts w:ascii="宋体" w:hAnsi="宋体" w:cs="宋体"/>
                <w:bCs/>
                <w:sz w:val="18"/>
                <w:szCs w:val="18"/>
              </w:rPr>
            </w:pPr>
          </w:p>
        </w:tc>
        <w:tc>
          <w:tcPr>
            <w:tcW w:w="655" w:type="pct"/>
            <w:vAlign w:val="center"/>
          </w:tcPr>
          <w:p w14:paraId="793179B8">
            <w:pPr>
              <w:widowControl/>
              <w:adjustRightInd/>
              <w:spacing w:line="240" w:lineRule="auto"/>
              <w:jc w:val="center"/>
              <w:rPr>
                <w:rFonts w:ascii="宋体" w:hAnsi="宋体" w:cs="宋体"/>
                <w:bCs/>
                <w:sz w:val="18"/>
                <w:szCs w:val="18"/>
              </w:rPr>
            </w:pPr>
          </w:p>
        </w:tc>
        <w:tc>
          <w:tcPr>
            <w:tcW w:w="646" w:type="pct"/>
            <w:vAlign w:val="center"/>
          </w:tcPr>
          <w:p w14:paraId="7B4F18B2">
            <w:pPr>
              <w:widowControl/>
              <w:adjustRightInd/>
              <w:spacing w:line="240" w:lineRule="auto"/>
              <w:jc w:val="center"/>
              <w:rPr>
                <w:rFonts w:ascii="宋体" w:hAnsi="宋体" w:cs="宋体"/>
                <w:bCs/>
                <w:sz w:val="18"/>
                <w:szCs w:val="18"/>
              </w:rPr>
            </w:pPr>
          </w:p>
        </w:tc>
        <w:tc>
          <w:tcPr>
            <w:tcW w:w="684" w:type="pct"/>
            <w:vAlign w:val="center"/>
          </w:tcPr>
          <w:p w14:paraId="2DE18578">
            <w:pPr>
              <w:widowControl/>
              <w:adjustRightInd/>
              <w:spacing w:line="240" w:lineRule="auto"/>
              <w:jc w:val="center"/>
              <w:rPr>
                <w:rFonts w:ascii="宋体" w:hAnsi="宋体" w:cs="宋体"/>
                <w:bCs/>
                <w:sz w:val="18"/>
                <w:szCs w:val="18"/>
              </w:rPr>
            </w:pPr>
          </w:p>
        </w:tc>
        <w:tc>
          <w:tcPr>
            <w:tcW w:w="398" w:type="pct"/>
            <w:vAlign w:val="center"/>
          </w:tcPr>
          <w:p w14:paraId="5870B8C1">
            <w:pPr>
              <w:adjustRightInd/>
              <w:spacing w:line="240" w:lineRule="auto"/>
              <w:jc w:val="center"/>
              <w:rPr>
                <w:rFonts w:ascii="宋体" w:hAnsi="宋体" w:cs="宋体"/>
                <w:bCs/>
                <w:sz w:val="18"/>
                <w:szCs w:val="18"/>
              </w:rPr>
            </w:pPr>
          </w:p>
        </w:tc>
      </w:tr>
      <w:tr w14:paraId="79F83B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14:paraId="3FF77B44">
            <w:pPr>
              <w:adjustRightInd/>
              <w:spacing w:line="240" w:lineRule="auto"/>
              <w:jc w:val="center"/>
              <w:rPr>
                <w:rFonts w:ascii="宋体" w:hAnsi="宋体" w:cs="宋体"/>
                <w:bCs/>
                <w:sz w:val="18"/>
                <w:szCs w:val="18"/>
              </w:rPr>
            </w:pPr>
          </w:p>
        </w:tc>
        <w:tc>
          <w:tcPr>
            <w:tcW w:w="942" w:type="pct"/>
            <w:vAlign w:val="center"/>
          </w:tcPr>
          <w:p w14:paraId="5DF662A6">
            <w:pPr>
              <w:adjustRightInd/>
              <w:spacing w:line="240" w:lineRule="auto"/>
              <w:jc w:val="center"/>
              <w:rPr>
                <w:rFonts w:ascii="宋体" w:hAnsi="宋体" w:cs="宋体"/>
                <w:bCs/>
                <w:sz w:val="18"/>
                <w:szCs w:val="18"/>
              </w:rPr>
            </w:pPr>
          </w:p>
        </w:tc>
        <w:tc>
          <w:tcPr>
            <w:tcW w:w="652" w:type="pct"/>
            <w:vAlign w:val="center"/>
          </w:tcPr>
          <w:p w14:paraId="01982BE6">
            <w:pPr>
              <w:adjustRightInd/>
              <w:spacing w:line="240" w:lineRule="auto"/>
              <w:jc w:val="center"/>
              <w:rPr>
                <w:rFonts w:ascii="宋体" w:hAnsi="宋体" w:cs="宋体"/>
                <w:bCs/>
                <w:sz w:val="18"/>
                <w:szCs w:val="18"/>
              </w:rPr>
            </w:pPr>
          </w:p>
        </w:tc>
        <w:tc>
          <w:tcPr>
            <w:tcW w:w="643" w:type="pct"/>
            <w:vAlign w:val="center"/>
          </w:tcPr>
          <w:p w14:paraId="15B6125B">
            <w:pPr>
              <w:adjustRightInd/>
              <w:spacing w:line="240" w:lineRule="auto"/>
              <w:jc w:val="center"/>
              <w:rPr>
                <w:rFonts w:ascii="宋体" w:hAnsi="宋体" w:cs="宋体"/>
                <w:bCs/>
                <w:sz w:val="18"/>
                <w:szCs w:val="18"/>
              </w:rPr>
            </w:pPr>
          </w:p>
        </w:tc>
        <w:tc>
          <w:tcPr>
            <w:tcW w:w="655" w:type="pct"/>
            <w:vAlign w:val="center"/>
          </w:tcPr>
          <w:p w14:paraId="20DEEA09">
            <w:pPr>
              <w:adjustRightInd/>
              <w:spacing w:line="240" w:lineRule="auto"/>
              <w:jc w:val="center"/>
              <w:rPr>
                <w:rFonts w:ascii="宋体" w:hAnsi="宋体" w:cs="宋体"/>
                <w:bCs/>
                <w:sz w:val="18"/>
                <w:szCs w:val="18"/>
              </w:rPr>
            </w:pPr>
          </w:p>
        </w:tc>
        <w:tc>
          <w:tcPr>
            <w:tcW w:w="646" w:type="pct"/>
            <w:vAlign w:val="center"/>
          </w:tcPr>
          <w:p w14:paraId="4333A300">
            <w:pPr>
              <w:adjustRightInd/>
              <w:spacing w:line="240" w:lineRule="auto"/>
              <w:jc w:val="center"/>
              <w:rPr>
                <w:rFonts w:ascii="宋体" w:hAnsi="宋体" w:cs="宋体"/>
                <w:bCs/>
                <w:sz w:val="18"/>
                <w:szCs w:val="18"/>
              </w:rPr>
            </w:pPr>
          </w:p>
        </w:tc>
        <w:tc>
          <w:tcPr>
            <w:tcW w:w="684" w:type="pct"/>
            <w:vAlign w:val="center"/>
          </w:tcPr>
          <w:p w14:paraId="37E52281">
            <w:pPr>
              <w:adjustRightInd/>
              <w:spacing w:line="240" w:lineRule="auto"/>
              <w:jc w:val="center"/>
              <w:rPr>
                <w:rFonts w:ascii="宋体" w:hAnsi="宋体" w:cs="宋体"/>
                <w:bCs/>
                <w:sz w:val="18"/>
                <w:szCs w:val="18"/>
              </w:rPr>
            </w:pPr>
          </w:p>
        </w:tc>
        <w:tc>
          <w:tcPr>
            <w:tcW w:w="398" w:type="pct"/>
            <w:vAlign w:val="center"/>
          </w:tcPr>
          <w:p w14:paraId="687F3D33">
            <w:pPr>
              <w:adjustRightInd/>
              <w:spacing w:line="240" w:lineRule="auto"/>
              <w:jc w:val="center"/>
              <w:rPr>
                <w:rFonts w:ascii="宋体" w:hAnsi="宋体" w:cs="宋体"/>
                <w:bCs/>
                <w:sz w:val="18"/>
                <w:szCs w:val="18"/>
              </w:rPr>
            </w:pPr>
          </w:p>
        </w:tc>
      </w:tr>
    </w:tbl>
    <w:p w14:paraId="6266B74A">
      <w:pPr>
        <w:pStyle w:val="147"/>
        <w:spacing w:before="158" w:after="158"/>
      </w:pPr>
      <w:r>
        <w:rPr>
          <w:rFonts w:hint="eastAsia"/>
        </w:rPr>
        <w:br w:type="page"/>
      </w:r>
      <w:r>
        <w:rPr>
          <w:rFonts w:hint="eastAsia"/>
        </w:rPr>
        <w:t>隐患和问题清单</w:t>
      </w:r>
    </w:p>
    <w:p w14:paraId="5CF44DF7">
      <w:pPr>
        <w:widowControl/>
        <w:wordWrap w:val="0"/>
        <w:topLinePunct/>
        <w:autoSpaceDE w:val="0"/>
        <w:autoSpaceDN w:val="0"/>
        <w:snapToGrid w:val="0"/>
        <w:spacing w:line="240" w:lineRule="auto"/>
        <w:jc w:val="left"/>
        <w:textAlignment w:val="baseline"/>
        <w:rPr>
          <w:rFonts w:ascii="Times New Roman" w:hAnsi="Times New Roman" w:cs="Arial"/>
          <w:snapToGrid w:val="0"/>
          <w:color w:val="000000"/>
          <w:kern w:val="0"/>
          <w:sz w:val="18"/>
          <w:szCs w:val="18"/>
          <w:lang w:eastAsia="en-US"/>
        </w:rPr>
      </w:pPr>
      <w:r>
        <w:rPr>
          <w:rFonts w:ascii="Times New Roman" w:hAnsi="Times New Roman" w:cs="宋体"/>
          <w:snapToGrid w:val="0"/>
          <w:color w:val="000000"/>
          <w:spacing w:val="3"/>
          <w:kern w:val="0"/>
          <w:sz w:val="18"/>
          <w:szCs w:val="18"/>
          <w:lang w:eastAsia="en-US"/>
        </w:rPr>
        <w:t>问题隐患编号：</w:t>
      </w:r>
    </w:p>
    <w:tbl>
      <w:tblPr>
        <w:tblStyle w:val="230"/>
        <w:tblW w:w="4998" w:type="pct"/>
        <w:jc w:val="center"/>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Layout w:type="autofit"/>
        <w:tblCellMar>
          <w:top w:w="0" w:type="dxa"/>
          <w:left w:w="0" w:type="dxa"/>
          <w:bottom w:w="0" w:type="dxa"/>
          <w:right w:w="0" w:type="dxa"/>
        </w:tblCellMar>
      </w:tblPr>
      <w:tblGrid>
        <w:gridCol w:w="2330"/>
        <w:gridCol w:w="397"/>
        <w:gridCol w:w="1923"/>
        <w:gridCol w:w="2386"/>
        <w:gridCol w:w="2335"/>
      </w:tblGrid>
      <w:tr w14:paraId="13069CC7">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811" w:hRule="atLeast"/>
          <w:jc w:val="center"/>
        </w:trPr>
        <w:tc>
          <w:tcPr>
            <w:tcW w:w="1243" w:type="pct"/>
            <w:tcBorders>
              <w:bottom w:val="single" w:color="auto" w:sz="4" w:space="0"/>
            </w:tcBorders>
            <w:vAlign w:val="center"/>
          </w:tcPr>
          <w:p w14:paraId="33A14983">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hint="eastAsia" w:ascii="Times New Roman" w:hAnsi="Times New Roman" w:cs="宋体"/>
                <w:bCs/>
                <w:snapToGrid w:val="0"/>
                <w:color w:val="000000"/>
                <w:spacing w:val="7"/>
                <w:kern w:val="0"/>
                <w:sz w:val="18"/>
                <w:szCs w:val="18"/>
                <w:lang w:eastAsia="en-US"/>
              </w:rPr>
              <w:t>排查部门</w:t>
            </w:r>
          </w:p>
        </w:tc>
        <w:tc>
          <w:tcPr>
            <w:tcW w:w="1238" w:type="pct"/>
            <w:gridSpan w:val="2"/>
            <w:tcBorders>
              <w:bottom w:val="single" w:color="auto" w:sz="4" w:space="0"/>
            </w:tcBorders>
            <w:vAlign w:val="center"/>
          </w:tcPr>
          <w:p w14:paraId="7560E82C">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c>
          <w:tcPr>
            <w:tcW w:w="1273" w:type="pct"/>
            <w:tcBorders>
              <w:bottom w:val="single" w:color="auto" w:sz="4" w:space="0"/>
            </w:tcBorders>
            <w:vAlign w:val="center"/>
          </w:tcPr>
          <w:p w14:paraId="2C463EC5">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rPr>
            </w:pPr>
            <w:r>
              <w:rPr>
                <w:rFonts w:hint="eastAsia" w:ascii="Times New Roman" w:hAnsi="Times New Roman" w:cs="宋体"/>
                <w:bCs/>
                <w:snapToGrid w:val="0"/>
                <w:color w:val="000000"/>
                <w:spacing w:val="7"/>
                <w:kern w:val="0"/>
                <w:sz w:val="18"/>
                <w:szCs w:val="18"/>
              </w:rPr>
              <w:t>排查人员</w:t>
            </w:r>
          </w:p>
        </w:tc>
        <w:tc>
          <w:tcPr>
            <w:tcW w:w="1243" w:type="pct"/>
            <w:tcBorders>
              <w:bottom w:val="single" w:color="auto" w:sz="4" w:space="0"/>
            </w:tcBorders>
            <w:vAlign w:val="center"/>
          </w:tcPr>
          <w:p w14:paraId="6F66B20E">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6B1ACE82">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1243" w:type="pct"/>
            <w:tcBorders>
              <w:top w:val="single" w:color="auto" w:sz="4" w:space="0"/>
            </w:tcBorders>
            <w:vAlign w:val="center"/>
          </w:tcPr>
          <w:p w14:paraId="7E87E8D4">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hint="eastAsia" w:ascii="Times New Roman" w:hAnsi="Times New Roman" w:cs="宋体"/>
                <w:bCs/>
                <w:snapToGrid w:val="0"/>
                <w:color w:val="000000"/>
                <w:spacing w:val="7"/>
                <w:kern w:val="0"/>
                <w:sz w:val="18"/>
                <w:szCs w:val="18"/>
              </w:rPr>
              <w:t>排查</w:t>
            </w:r>
            <w:r>
              <w:rPr>
                <w:rFonts w:ascii="Times New Roman" w:hAnsi="Times New Roman" w:cs="宋体"/>
                <w:bCs/>
                <w:snapToGrid w:val="0"/>
                <w:color w:val="000000"/>
                <w:spacing w:val="7"/>
                <w:kern w:val="0"/>
                <w:sz w:val="18"/>
                <w:szCs w:val="18"/>
                <w:lang w:eastAsia="en-US"/>
              </w:rPr>
              <w:t>时间</w:t>
            </w:r>
          </w:p>
        </w:tc>
        <w:tc>
          <w:tcPr>
            <w:tcW w:w="1238" w:type="pct"/>
            <w:gridSpan w:val="2"/>
            <w:tcBorders>
              <w:top w:val="single" w:color="auto" w:sz="4" w:space="0"/>
            </w:tcBorders>
            <w:vAlign w:val="center"/>
          </w:tcPr>
          <w:p w14:paraId="250C099C">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c>
          <w:tcPr>
            <w:tcW w:w="1273" w:type="pct"/>
            <w:tcBorders>
              <w:top w:val="single" w:color="auto" w:sz="4" w:space="0"/>
            </w:tcBorders>
            <w:vAlign w:val="center"/>
          </w:tcPr>
          <w:p w14:paraId="7CCC5137">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7"/>
                <w:kern w:val="0"/>
                <w:sz w:val="18"/>
                <w:szCs w:val="18"/>
                <w:lang w:eastAsia="en-US"/>
              </w:rPr>
              <w:t>受检部门</w:t>
            </w:r>
          </w:p>
        </w:tc>
        <w:tc>
          <w:tcPr>
            <w:tcW w:w="1243" w:type="pct"/>
            <w:tcBorders>
              <w:top w:val="single" w:color="auto" w:sz="4" w:space="0"/>
            </w:tcBorders>
            <w:vAlign w:val="center"/>
          </w:tcPr>
          <w:p w14:paraId="023CE7A9">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647762BF">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814" w:hRule="atLeast"/>
          <w:jc w:val="center"/>
        </w:trPr>
        <w:tc>
          <w:tcPr>
            <w:tcW w:w="1243" w:type="pct"/>
            <w:vAlign w:val="center"/>
          </w:tcPr>
          <w:p w14:paraId="09B0CAA2">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rPr>
            </w:pPr>
            <w:r>
              <w:rPr>
                <w:rFonts w:ascii="Times New Roman" w:hAnsi="Times New Roman" w:cs="宋体"/>
                <w:bCs/>
                <w:snapToGrid w:val="0"/>
                <w:color w:val="000000"/>
                <w:spacing w:val="4"/>
                <w:kern w:val="0"/>
                <w:sz w:val="18"/>
                <w:szCs w:val="18"/>
                <w:lang w:eastAsia="en-US"/>
              </w:rPr>
              <w:t>隐患</w:t>
            </w:r>
            <w:r>
              <w:rPr>
                <w:rFonts w:hint="eastAsia" w:ascii="Times New Roman" w:hAnsi="Times New Roman" w:cs="宋体"/>
                <w:bCs/>
                <w:snapToGrid w:val="0"/>
                <w:color w:val="000000"/>
                <w:spacing w:val="4"/>
                <w:kern w:val="0"/>
                <w:sz w:val="18"/>
                <w:szCs w:val="18"/>
              </w:rPr>
              <w:t>位置</w:t>
            </w:r>
          </w:p>
        </w:tc>
        <w:tc>
          <w:tcPr>
            <w:tcW w:w="1238" w:type="pct"/>
            <w:gridSpan w:val="2"/>
            <w:tcBorders>
              <w:right w:val="single" w:color="auto" w:sz="4" w:space="0"/>
            </w:tcBorders>
            <w:vAlign w:val="center"/>
          </w:tcPr>
          <w:p w14:paraId="2150A325">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c>
          <w:tcPr>
            <w:tcW w:w="1273" w:type="pct"/>
            <w:tcBorders>
              <w:left w:val="single" w:color="auto" w:sz="4" w:space="0"/>
              <w:right w:val="single" w:color="auto" w:sz="4" w:space="0"/>
            </w:tcBorders>
            <w:vAlign w:val="center"/>
          </w:tcPr>
          <w:p w14:paraId="6AC52FE1">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rPr>
            </w:pPr>
            <w:r>
              <w:rPr>
                <w:rFonts w:hint="eastAsia" w:ascii="Times New Roman" w:hAnsi="Times New Roman" w:cs="Arial"/>
                <w:bCs/>
                <w:snapToGrid w:val="0"/>
                <w:color w:val="000000"/>
                <w:kern w:val="0"/>
                <w:sz w:val="18"/>
                <w:szCs w:val="18"/>
              </w:rPr>
              <w:t>隐患等级</w:t>
            </w:r>
          </w:p>
        </w:tc>
        <w:tc>
          <w:tcPr>
            <w:tcW w:w="1243" w:type="pct"/>
            <w:tcBorders>
              <w:left w:val="single" w:color="auto" w:sz="4" w:space="0"/>
            </w:tcBorders>
            <w:vAlign w:val="center"/>
          </w:tcPr>
          <w:p w14:paraId="473DC5FD">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15DD9C7F">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222" w:hRule="atLeast"/>
          <w:jc w:val="center"/>
        </w:trPr>
        <w:tc>
          <w:tcPr>
            <w:tcW w:w="5000" w:type="pct"/>
            <w:gridSpan w:val="5"/>
          </w:tcPr>
          <w:p w14:paraId="376091BD">
            <w:pPr>
              <w:wordWrap w:val="0"/>
              <w:topLinePunct/>
              <w:autoSpaceDE w:val="0"/>
              <w:autoSpaceDN w:val="0"/>
              <w:snapToGrid w:val="0"/>
              <w:spacing w:line="240" w:lineRule="auto"/>
              <w:jc w:val="left"/>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3"/>
                <w:kern w:val="0"/>
                <w:sz w:val="18"/>
                <w:szCs w:val="18"/>
                <w:lang w:eastAsia="en-US"/>
              </w:rPr>
              <w:t>隐患</w:t>
            </w:r>
            <w:r>
              <w:rPr>
                <w:rFonts w:hint="eastAsia" w:ascii="Times New Roman" w:hAnsi="Times New Roman" w:cs="宋体"/>
                <w:bCs/>
                <w:snapToGrid w:val="0"/>
                <w:color w:val="000000"/>
                <w:spacing w:val="3"/>
                <w:kern w:val="0"/>
                <w:sz w:val="18"/>
                <w:szCs w:val="18"/>
              </w:rPr>
              <w:t>描述</w:t>
            </w:r>
            <w:r>
              <w:rPr>
                <w:rFonts w:ascii="Times New Roman" w:hAnsi="Times New Roman" w:cs="宋体"/>
                <w:bCs/>
                <w:snapToGrid w:val="0"/>
                <w:color w:val="000000"/>
                <w:spacing w:val="3"/>
                <w:kern w:val="0"/>
                <w:sz w:val="18"/>
                <w:szCs w:val="18"/>
                <w:lang w:eastAsia="en-US"/>
              </w:rPr>
              <w:t>：</w:t>
            </w:r>
          </w:p>
        </w:tc>
      </w:tr>
      <w:tr w14:paraId="405094A3">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3010" w:hRule="atLeast"/>
          <w:jc w:val="center"/>
        </w:trPr>
        <w:tc>
          <w:tcPr>
            <w:tcW w:w="5000" w:type="pct"/>
            <w:gridSpan w:val="5"/>
          </w:tcPr>
          <w:p w14:paraId="3EDDD94A">
            <w:pPr>
              <w:wordWrap w:val="0"/>
              <w:topLinePunct/>
              <w:autoSpaceDE w:val="0"/>
              <w:autoSpaceDN w:val="0"/>
              <w:snapToGrid w:val="0"/>
              <w:spacing w:line="240" w:lineRule="auto"/>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5"/>
                <w:kern w:val="0"/>
                <w:sz w:val="18"/>
                <w:szCs w:val="18"/>
                <w:lang w:eastAsia="en-US"/>
              </w:rPr>
              <w:t>整改要求：</w:t>
            </w:r>
          </w:p>
        </w:tc>
      </w:tr>
      <w:tr w14:paraId="7468F689">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969" w:hRule="atLeast"/>
          <w:jc w:val="center"/>
        </w:trPr>
        <w:tc>
          <w:tcPr>
            <w:tcW w:w="1455" w:type="pct"/>
            <w:gridSpan w:val="2"/>
            <w:vAlign w:val="center"/>
          </w:tcPr>
          <w:p w14:paraId="62048C15">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26"/>
                <w:kern w:val="0"/>
                <w:sz w:val="18"/>
                <w:szCs w:val="18"/>
                <w:lang w:eastAsia="en-US"/>
              </w:rPr>
              <w:t>要求完成整改期限</w:t>
            </w:r>
          </w:p>
        </w:tc>
        <w:tc>
          <w:tcPr>
            <w:tcW w:w="3544" w:type="pct"/>
            <w:gridSpan w:val="3"/>
            <w:vAlign w:val="center"/>
          </w:tcPr>
          <w:p w14:paraId="5E377676">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3C453110">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930" w:hRule="atLeast"/>
          <w:jc w:val="center"/>
        </w:trPr>
        <w:tc>
          <w:tcPr>
            <w:tcW w:w="1455" w:type="pct"/>
            <w:gridSpan w:val="2"/>
            <w:vAlign w:val="center"/>
          </w:tcPr>
          <w:p w14:paraId="558CF4B7">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rPr>
            </w:pPr>
            <w:r>
              <w:rPr>
                <w:rFonts w:ascii="Times New Roman" w:hAnsi="Times New Roman" w:cs="宋体"/>
                <w:bCs/>
                <w:snapToGrid w:val="0"/>
                <w:color w:val="000000"/>
                <w:spacing w:val="26"/>
                <w:kern w:val="0"/>
                <w:sz w:val="18"/>
                <w:szCs w:val="18"/>
              </w:rPr>
              <w:t>整改</w:t>
            </w:r>
            <w:r>
              <w:rPr>
                <w:rFonts w:hint="eastAsia" w:ascii="Times New Roman" w:hAnsi="Times New Roman" w:cs="宋体"/>
                <w:bCs/>
                <w:snapToGrid w:val="0"/>
                <w:color w:val="000000"/>
                <w:spacing w:val="26"/>
                <w:kern w:val="0"/>
                <w:sz w:val="18"/>
                <w:szCs w:val="18"/>
              </w:rPr>
              <w:t>业务归属部门</w:t>
            </w:r>
            <w:r>
              <w:rPr>
                <w:rFonts w:ascii="Times New Roman" w:hAnsi="Times New Roman" w:cs="宋体"/>
                <w:bCs/>
                <w:snapToGrid w:val="0"/>
                <w:color w:val="000000"/>
                <w:spacing w:val="26"/>
                <w:kern w:val="0"/>
                <w:sz w:val="18"/>
                <w:szCs w:val="18"/>
              </w:rPr>
              <w:t>及责任人</w:t>
            </w:r>
            <w:r>
              <w:rPr>
                <w:rFonts w:hint="eastAsia" w:ascii="Times New Roman" w:hAnsi="Times New Roman" w:cs="宋体"/>
                <w:bCs/>
                <w:snapToGrid w:val="0"/>
                <w:color w:val="000000"/>
                <w:spacing w:val="26"/>
                <w:kern w:val="0"/>
                <w:sz w:val="18"/>
                <w:szCs w:val="18"/>
              </w:rPr>
              <w:t>（</w:t>
            </w:r>
            <w:r>
              <w:rPr>
                <w:rFonts w:ascii="Times New Roman" w:hAnsi="Times New Roman" w:cs="宋体"/>
                <w:bCs/>
                <w:snapToGrid w:val="0"/>
                <w:color w:val="000000"/>
                <w:spacing w:val="26"/>
                <w:kern w:val="0"/>
                <w:sz w:val="18"/>
                <w:szCs w:val="18"/>
              </w:rPr>
              <w:t>签</w:t>
            </w:r>
            <w:r>
              <w:rPr>
                <w:rFonts w:ascii="Times New Roman" w:hAnsi="Times New Roman" w:cs="宋体"/>
                <w:bCs/>
                <w:snapToGrid w:val="0"/>
                <w:color w:val="000000"/>
                <w:spacing w:val="2"/>
                <w:kern w:val="0"/>
                <w:sz w:val="18"/>
                <w:szCs w:val="18"/>
              </w:rPr>
              <w:t>字</w:t>
            </w:r>
            <w:r>
              <w:rPr>
                <w:rFonts w:hint="eastAsia" w:ascii="Times New Roman" w:hAnsi="Times New Roman" w:cs="宋体"/>
                <w:bCs/>
                <w:snapToGrid w:val="0"/>
                <w:color w:val="000000"/>
                <w:spacing w:val="2"/>
                <w:kern w:val="0"/>
                <w:sz w:val="18"/>
                <w:szCs w:val="18"/>
              </w:rPr>
              <w:t>）</w:t>
            </w:r>
          </w:p>
        </w:tc>
        <w:tc>
          <w:tcPr>
            <w:tcW w:w="3544" w:type="pct"/>
            <w:gridSpan w:val="3"/>
            <w:vAlign w:val="center"/>
          </w:tcPr>
          <w:p w14:paraId="032887FB">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rPr>
            </w:pPr>
          </w:p>
        </w:tc>
      </w:tr>
    </w:tbl>
    <w:p w14:paraId="1D4914E1">
      <w:pPr>
        <w:pStyle w:val="147"/>
        <w:spacing w:before="158" w:after="158"/>
      </w:pPr>
      <w:r>
        <w:rPr>
          <w:rFonts w:hint="eastAsia"/>
        </w:rPr>
        <w:br w:type="page"/>
      </w:r>
      <w:r>
        <w:rPr>
          <w:rFonts w:hint="eastAsia"/>
        </w:rPr>
        <w:t>问题隐患整改工作清单</w:t>
      </w:r>
    </w:p>
    <w:p w14:paraId="2309E607">
      <w:pPr>
        <w:widowControl/>
        <w:wordWrap w:val="0"/>
        <w:topLinePunct/>
        <w:autoSpaceDE w:val="0"/>
        <w:autoSpaceDN w:val="0"/>
        <w:snapToGrid w:val="0"/>
        <w:spacing w:line="240" w:lineRule="auto"/>
        <w:jc w:val="left"/>
        <w:textAlignment w:val="baseline"/>
        <w:rPr>
          <w:rFonts w:ascii="Times New Roman" w:hAnsi="Times New Roman" w:cs="Arial"/>
          <w:snapToGrid w:val="0"/>
          <w:color w:val="000000"/>
          <w:kern w:val="0"/>
          <w:sz w:val="18"/>
          <w:szCs w:val="18"/>
          <w:lang w:eastAsia="en-US"/>
        </w:rPr>
      </w:pPr>
      <w:r>
        <w:rPr>
          <w:rFonts w:ascii="Times New Roman" w:hAnsi="Times New Roman" w:cs="宋体"/>
          <w:snapToGrid w:val="0"/>
          <w:color w:val="000000"/>
          <w:spacing w:val="2"/>
          <w:kern w:val="0"/>
          <w:sz w:val="18"/>
          <w:szCs w:val="18"/>
          <w:lang w:eastAsia="en-US"/>
        </w:rPr>
        <w:t>编号：</w:t>
      </w:r>
    </w:p>
    <w:tbl>
      <w:tblPr>
        <w:tblStyle w:val="230"/>
        <w:tblW w:w="4998" w:type="pct"/>
        <w:jc w:val="center"/>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Layout w:type="autofit"/>
        <w:tblCellMar>
          <w:top w:w="0" w:type="dxa"/>
          <w:left w:w="0" w:type="dxa"/>
          <w:bottom w:w="0" w:type="dxa"/>
          <w:right w:w="0" w:type="dxa"/>
        </w:tblCellMar>
      </w:tblPr>
      <w:tblGrid>
        <w:gridCol w:w="2412"/>
        <w:gridCol w:w="2250"/>
        <w:gridCol w:w="2066"/>
        <w:gridCol w:w="2643"/>
      </w:tblGrid>
      <w:tr w14:paraId="1A737BB2">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87" w:type="pct"/>
            <w:tcBorders>
              <w:bottom w:val="single" w:color="auto" w:sz="4" w:space="0"/>
            </w:tcBorders>
            <w:vAlign w:val="center"/>
          </w:tcPr>
          <w:p w14:paraId="7BAEB05E">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4"/>
                <w:kern w:val="0"/>
                <w:sz w:val="18"/>
                <w:szCs w:val="18"/>
                <w:lang w:eastAsia="en-US"/>
              </w:rPr>
              <w:t>问题隐患编号</w:t>
            </w:r>
          </w:p>
        </w:tc>
        <w:tc>
          <w:tcPr>
            <w:tcW w:w="1200" w:type="pct"/>
            <w:tcBorders>
              <w:bottom w:val="single" w:color="auto" w:sz="4" w:space="0"/>
            </w:tcBorders>
            <w:vAlign w:val="center"/>
          </w:tcPr>
          <w:p w14:paraId="122A3093">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c>
          <w:tcPr>
            <w:tcW w:w="1102" w:type="pct"/>
            <w:tcBorders>
              <w:bottom w:val="single" w:color="auto" w:sz="4" w:space="0"/>
            </w:tcBorders>
            <w:vAlign w:val="center"/>
          </w:tcPr>
          <w:p w14:paraId="5EDA4FE0">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7"/>
                <w:kern w:val="0"/>
                <w:sz w:val="18"/>
                <w:szCs w:val="18"/>
                <w:lang w:eastAsia="en-US"/>
              </w:rPr>
              <w:t>排查时间</w:t>
            </w:r>
          </w:p>
        </w:tc>
        <w:tc>
          <w:tcPr>
            <w:tcW w:w="1409" w:type="pct"/>
            <w:tcBorders>
              <w:bottom w:val="single" w:color="auto" w:sz="4" w:space="0"/>
            </w:tcBorders>
            <w:vAlign w:val="center"/>
          </w:tcPr>
          <w:p w14:paraId="7E3D7043">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15EF7BD1">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87" w:type="pct"/>
            <w:tcBorders>
              <w:top w:val="single" w:color="auto" w:sz="4" w:space="0"/>
            </w:tcBorders>
            <w:vAlign w:val="center"/>
          </w:tcPr>
          <w:p w14:paraId="507A688B">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8"/>
                <w:kern w:val="0"/>
                <w:sz w:val="18"/>
                <w:szCs w:val="18"/>
                <w:lang w:eastAsia="en-US"/>
              </w:rPr>
              <w:t>排查部门</w:t>
            </w:r>
          </w:p>
        </w:tc>
        <w:tc>
          <w:tcPr>
            <w:tcW w:w="1200" w:type="pct"/>
            <w:tcBorders>
              <w:top w:val="single" w:color="auto" w:sz="4" w:space="0"/>
            </w:tcBorders>
            <w:vAlign w:val="center"/>
          </w:tcPr>
          <w:p w14:paraId="6D7170E2">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c>
          <w:tcPr>
            <w:tcW w:w="1102" w:type="pct"/>
            <w:tcBorders>
              <w:top w:val="single" w:color="auto" w:sz="4" w:space="0"/>
            </w:tcBorders>
            <w:vAlign w:val="center"/>
          </w:tcPr>
          <w:p w14:paraId="6BA1CE6C">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7"/>
                <w:kern w:val="0"/>
                <w:sz w:val="18"/>
                <w:szCs w:val="18"/>
                <w:lang w:eastAsia="en-US"/>
              </w:rPr>
              <w:t>排查人员</w:t>
            </w:r>
          </w:p>
        </w:tc>
        <w:tc>
          <w:tcPr>
            <w:tcW w:w="1409" w:type="pct"/>
            <w:tcBorders>
              <w:top w:val="single" w:color="auto" w:sz="4" w:space="0"/>
            </w:tcBorders>
            <w:vAlign w:val="center"/>
          </w:tcPr>
          <w:p w14:paraId="0C3DDB6D">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7040AE65">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287" w:type="pct"/>
            <w:vAlign w:val="center"/>
          </w:tcPr>
          <w:p w14:paraId="1BCB6A29">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rPr>
            </w:pPr>
            <w:r>
              <w:rPr>
                <w:rFonts w:ascii="Times New Roman" w:hAnsi="Times New Roman" w:cs="宋体"/>
                <w:bCs/>
                <w:snapToGrid w:val="0"/>
                <w:color w:val="000000"/>
                <w:spacing w:val="4"/>
                <w:kern w:val="0"/>
                <w:sz w:val="18"/>
                <w:szCs w:val="18"/>
                <w:lang w:eastAsia="en-US"/>
              </w:rPr>
              <w:t>问题隐患</w:t>
            </w:r>
            <w:r>
              <w:rPr>
                <w:rFonts w:hint="eastAsia" w:ascii="Times New Roman" w:hAnsi="Times New Roman" w:cs="宋体"/>
                <w:bCs/>
                <w:snapToGrid w:val="0"/>
                <w:color w:val="000000"/>
                <w:spacing w:val="4"/>
                <w:kern w:val="0"/>
                <w:sz w:val="18"/>
                <w:szCs w:val="18"/>
              </w:rPr>
              <w:t>位置</w:t>
            </w:r>
          </w:p>
        </w:tc>
        <w:tc>
          <w:tcPr>
            <w:tcW w:w="1200" w:type="pct"/>
            <w:tcBorders>
              <w:right w:val="single" w:color="auto" w:sz="4" w:space="0"/>
            </w:tcBorders>
            <w:vAlign w:val="center"/>
          </w:tcPr>
          <w:p w14:paraId="2B0BB4F2">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c>
          <w:tcPr>
            <w:tcW w:w="1102" w:type="pct"/>
            <w:tcBorders>
              <w:left w:val="single" w:color="auto" w:sz="4" w:space="0"/>
              <w:right w:val="single" w:color="auto" w:sz="4" w:space="0"/>
            </w:tcBorders>
            <w:vAlign w:val="center"/>
          </w:tcPr>
          <w:p w14:paraId="69745E5C">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rPr>
            </w:pPr>
            <w:r>
              <w:rPr>
                <w:rFonts w:hint="eastAsia" w:ascii="Times New Roman" w:hAnsi="Times New Roman" w:cs="Arial"/>
                <w:bCs/>
                <w:snapToGrid w:val="0"/>
                <w:color w:val="000000"/>
                <w:kern w:val="0"/>
                <w:sz w:val="18"/>
                <w:szCs w:val="18"/>
              </w:rPr>
              <w:t>隐患等级</w:t>
            </w:r>
          </w:p>
        </w:tc>
        <w:tc>
          <w:tcPr>
            <w:tcW w:w="1409" w:type="pct"/>
            <w:tcBorders>
              <w:left w:val="single" w:color="auto" w:sz="4" w:space="0"/>
            </w:tcBorders>
            <w:vAlign w:val="center"/>
          </w:tcPr>
          <w:p w14:paraId="0662421A">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15A91B50">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1984" w:hRule="atLeast"/>
          <w:jc w:val="center"/>
        </w:trPr>
        <w:tc>
          <w:tcPr>
            <w:tcW w:w="1287" w:type="pct"/>
            <w:vAlign w:val="center"/>
          </w:tcPr>
          <w:p w14:paraId="54A8563D">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4"/>
                <w:kern w:val="0"/>
                <w:sz w:val="18"/>
                <w:szCs w:val="18"/>
                <w:lang w:eastAsia="en-US"/>
              </w:rPr>
              <w:t>问题隐患情况</w:t>
            </w:r>
          </w:p>
        </w:tc>
        <w:tc>
          <w:tcPr>
            <w:tcW w:w="3712" w:type="pct"/>
            <w:gridSpan w:val="3"/>
            <w:vAlign w:val="center"/>
          </w:tcPr>
          <w:p w14:paraId="3350F8E8">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32C41AC7">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1984" w:hRule="atLeast"/>
          <w:jc w:val="center"/>
        </w:trPr>
        <w:tc>
          <w:tcPr>
            <w:tcW w:w="1287" w:type="pct"/>
            <w:vAlign w:val="center"/>
          </w:tcPr>
          <w:p w14:paraId="0AA15CDD">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5"/>
                <w:kern w:val="0"/>
                <w:sz w:val="18"/>
                <w:szCs w:val="18"/>
                <w:lang w:eastAsia="en-US"/>
              </w:rPr>
              <w:t>问题隐患形成原因</w:t>
            </w:r>
          </w:p>
        </w:tc>
        <w:tc>
          <w:tcPr>
            <w:tcW w:w="3712" w:type="pct"/>
            <w:gridSpan w:val="3"/>
            <w:vAlign w:val="center"/>
          </w:tcPr>
          <w:p w14:paraId="68347D9B">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0D60CDDE">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1984" w:hRule="atLeast"/>
          <w:jc w:val="center"/>
        </w:trPr>
        <w:tc>
          <w:tcPr>
            <w:tcW w:w="1287" w:type="pct"/>
            <w:vAlign w:val="center"/>
          </w:tcPr>
          <w:p w14:paraId="41600838">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5"/>
                <w:kern w:val="0"/>
                <w:sz w:val="18"/>
                <w:szCs w:val="18"/>
                <w:lang w:eastAsia="en-US"/>
              </w:rPr>
              <w:t>问题隐患整改措施</w:t>
            </w:r>
          </w:p>
        </w:tc>
        <w:tc>
          <w:tcPr>
            <w:tcW w:w="3712" w:type="pct"/>
            <w:gridSpan w:val="3"/>
            <w:vAlign w:val="center"/>
          </w:tcPr>
          <w:p w14:paraId="2F55D923">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6031436C">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1984" w:hRule="atLeast"/>
          <w:jc w:val="center"/>
        </w:trPr>
        <w:tc>
          <w:tcPr>
            <w:tcW w:w="1287" w:type="pct"/>
            <w:vAlign w:val="center"/>
          </w:tcPr>
          <w:p w14:paraId="42268B9E">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rPr>
            </w:pPr>
            <w:r>
              <w:rPr>
                <w:rFonts w:ascii="Times New Roman" w:hAnsi="Times New Roman" w:cs="宋体"/>
                <w:bCs/>
                <w:snapToGrid w:val="0"/>
                <w:color w:val="000000"/>
                <w:spacing w:val="8"/>
                <w:kern w:val="0"/>
                <w:sz w:val="18"/>
                <w:szCs w:val="18"/>
              </w:rPr>
              <w:t>整改期间采取的安全</w:t>
            </w:r>
            <w:r>
              <w:rPr>
                <w:rFonts w:ascii="Times New Roman" w:hAnsi="Times New Roman" w:cs="宋体"/>
                <w:bCs/>
                <w:snapToGrid w:val="0"/>
                <w:color w:val="000000"/>
                <w:spacing w:val="4"/>
                <w:kern w:val="0"/>
                <w:sz w:val="18"/>
                <w:szCs w:val="18"/>
              </w:rPr>
              <w:t>措施</w:t>
            </w:r>
          </w:p>
        </w:tc>
        <w:tc>
          <w:tcPr>
            <w:tcW w:w="3712" w:type="pct"/>
            <w:gridSpan w:val="3"/>
            <w:vAlign w:val="center"/>
          </w:tcPr>
          <w:p w14:paraId="6EE3C915">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rPr>
            </w:pPr>
          </w:p>
        </w:tc>
      </w:tr>
      <w:tr w14:paraId="1FD6BE5A">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1132" w:hRule="atLeast"/>
          <w:jc w:val="center"/>
        </w:trPr>
        <w:tc>
          <w:tcPr>
            <w:tcW w:w="1287" w:type="pct"/>
            <w:vAlign w:val="center"/>
          </w:tcPr>
          <w:p w14:paraId="77E4580E">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rPr>
            </w:pPr>
            <w:r>
              <w:rPr>
                <w:rFonts w:ascii="Times New Roman" w:hAnsi="Times New Roman" w:cs="宋体"/>
                <w:bCs/>
                <w:snapToGrid w:val="0"/>
                <w:color w:val="000000"/>
                <w:spacing w:val="6"/>
                <w:kern w:val="0"/>
                <w:sz w:val="18"/>
                <w:szCs w:val="18"/>
              </w:rPr>
              <w:t>问题隐患整改所需经</w:t>
            </w:r>
            <w:r>
              <w:rPr>
                <w:rFonts w:ascii="Times New Roman" w:hAnsi="Times New Roman" w:cs="宋体"/>
                <w:bCs/>
                <w:snapToGrid w:val="0"/>
                <w:color w:val="000000"/>
                <w:kern w:val="0"/>
                <w:sz w:val="18"/>
                <w:szCs w:val="18"/>
              </w:rPr>
              <w:t>费</w:t>
            </w:r>
          </w:p>
        </w:tc>
        <w:tc>
          <w:tcPr>
            <w:tcW w:w="1200" w:type="pct"/>
            <w:vAlign w:val="center"/>
          </w:tcPr>
          <w:p w14:paraId="4BFE5414">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rPr>
            </w:pPr>
          </w:p>
        </w:tc>
        <w:tc>
          <w:tcPr>
            <w:tcW w:w="1102" w:type="pct"/>
            <w:vAlign w:val="center"/>
          </w:tcPr>
          <w:p w14:paraId="75E42682">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rPr>
            </w:pPr>
            <w:r>
              <w:rPr>
                <w:rFonts w:ascii="Times New Roman" w:hAnsi="Times New Roman" w:cs="宋体"/>
                <w:bCs/>
                <w:snapToGrid w:val="0"/>
                <w:color w:val="000000"/>
                <w:spacing w:val="5"/>
                <w:kern w:val="0"/>
                <w:sz w:val="18"/>
                <w:szCs w:val="18"/>
              </w:rPr>
              <w:t>问题隐患整改所</w:t>
            </w:r>
            <w:r>
              <w:rPr>
                <w:rFonts w:ascii="Times New Roman" w:hAnsi="Times New Roman" w:cs="宋体"/>
                <w:bCs/>
                <w:snapToGrid w:val="0"/>
                <w:color w:val="000000"/>
                <w:spacing w:val="3"/>
                <w:kern w:val="0"/>
                <w:sz w:val="18"/>
                <w:szCs w:val="18"/>
              </w:rPr>
              <w:t>需物资</w:t>
            </w:r>
          </w:p>
        </w:tc>
        <w:tc>
          <w:tcPr>
            <w:tcW w:w="1409" w:type="pct"/>
            <w:vAlign w:val="center"/>
          </w:tcPr>
          <w:p w14:paraId="21BF5239">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rPr>
            </w:pPr>
          </w:p>
        </w:tc>
      </w:tr>
      <w:tr w14:paraId="30E36E32">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891" w:hRule="atLeast"/>
          <w:jc w:val="center"/>
        </w:trPr>
        <w:tc>
          <w:tcPr>
            <w:tcW w:w="1287" w:type="pct"/>
            <w:vAlign w:val="center"/>
          </w:tcPr>
          <w:p w14:paraId="00DDFD27">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rPr>
            </w:pPr>
            <w:r>
              <w:rPr>
                <w:rFonts w:ascii="Times New Roman" w:hAnsi="Times New Roman" w:cs="宋体"/>
                <w:bCs/>
                <w:snapToGrid w:val="0"/>
                <w:color w:val="000000"/>
                <w:spacing w:val="8"/>
                <w:kern w:val="0"/>
                <w:sz w:val="18"/>
                <w:szCs w:val="18"/>
                <w:lang w:eastAsia="en-US"/>
              </w:rPr>
              <w:t>整改完成</w:t>
            </w:r>
            <w:r>
              <w:rPr>
                <w:rFonts w:hint="eastAsia" w:ascii="Times New Roman" w:hAnsi="Times New Roman" w:cs="宋体"/>
                <w:bCs/>
                <w:snapToGrid w:val="0"/>
                <w:color w:val="000000"/>
                <w:spacing w:val="8"/>
                <w:kern w:val="0"/>
                <w:sz w:val="18"/>
                <w:szCs w:val="18"/>
              </w:rPr>
              <w:t>时间</w:t>
            </w:r>
          </w:p>
        </w:tc>
        <w:tc>
          <w:tcPr>
            <w:tcW w:w="1200" w:type="pct"/>
            <w:vAlign w:val="center"/>
          </w:tcPr>
          <w:p w14:paraId="4FF2F9D1">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c>
          <w:tcPr>
            <w:tcW w:w="1102" w:type="pct"/>
            <w:vAlign w:val="center"/>
          </w:tcPr>
          <w:p w14:paraId="265E45C8">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8"/>
                <w:kern w:val="0"/>
                <w:sz w:val="18"/>
                <w:szCs w:val="18"/>
                <w:lang w:eastAsia="en-US"/>
              </w:rPr>
              <w:t>整改实施部门</w:t>
            </w:r>
          </w:p>
        </w:tc>
        <w:tc>
          <w:tcPr>
            <w:tcW w:w="1409" w:type="pct"/>
            <w:vAlign w:val="center"/>
          </w:tcPr>
          <w:p w14:paraId="48BF1B55">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7229F09A">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780" w:hRule="atLeast"/>
          <w:jc w:val="center"/>
        </w:trPr>
        <w:tc>
          <w:tcPr>
            <w:tcW w:w="1287" w:type="pct"/>
            <w:vAlign w:val="center"/>
          </w:tcPr>
          <w:p w14:paraId="60E78EEE">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7"/>
                <w:kern w:val="0"/>
                <w:sz w:val="18"/>
                <w:szCs w:val="18"/>
                <w:lang w:eastAsia="en-US"/>
              </w:rPr>
              <w:t>实施整改人员</w:t>
            </w:r>
          </w:p>
        </w:tc>
        <w:tc>
          <w:tcPr>
            <w:tcW w:w="3712" w:type="pct"/>
            <w:gridSpan w:val="3"/>
            <w:vAlign w:val="center"/>
          </w:tcPr>
          <w:p w14:paraId="5DA67657">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bl>
    <w:p w14:paraId="38244856">
      <w:pPr>
        <w:pStyle w:val="147"/>
        <w:spacing w:before="158" w:after="158"/>
      </w:pPr>
      <w:r>
        <w:rPr>
          <w:rFonts w:hint="eastAsia"/>
        </w:rPr>
        <w:br w:type="page"/>
      </w:r>
      <w:r>
        <w:rPr>
          <w:rFonts w:hint="eastAsia"/>
        </w:rPr>
        <w:t>问题隐患复查验收清单</w:t>
      </w:r>
    </w:p>
    <w:tbl>
      <w:tblPr>
        <w:tblStyle w:val="230"/>
        <w:tblW w:w="4998" w:type="pct"/>
        <w:jc w:val="center"/>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Layout w:type="autofit"/>
        <w:tblCellMar>
          <w:top w:w="0" w:type="dxa"/>
          <w:left w:w="0" w:type="dxa"/>
          <w:bottom w:w="0" w:type="dxa"/>
          <w:right w:w="0" w:type="dxa"/>
        </w:tblCellMar>
      </w:tblPr>
      <w:tblGrid>
        <w:gridCol w:w="3027"/>
        <w:gridCol w:w="392"/>
        <w:gridCol w:w="1756"/>
        <w:gridCol w:w="2320"/>
        <w:gridCol w:w="1876"/>
      </w:tblGrid>
      <w:tr w14:paraId="59B843FC">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1824" w:type="pct"/>
            <w:gridSpan w:val="2"/>
            <w:tcBorders>
              <w:bottom w:val="single" w:color="auto" w:sz="4" w:space="0"/>
            </w:tcBorders>
            <w:vAlign w:val="center"/>
          </w:tcPr>
          <w:p w14:paraId="1010B08A">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rPr>
            </w:pPr>
            <w:r>
              <w:rPr>
                <w:rFonts w:ascii="Times New Roman" w:hAnsi="Times New Roman" w:cs="宋体"/>
                <w:bCs/>
                <w:snapToGrid w:val="0"/>
                <w:color w:val="000000"/>
                <w:spacing w:val="6"/>
                <w:kern w:val="0"/>
                <w:position w:val="7"/>
                <w:sz w:val="18"/>
                <w:szCs w:val="18"/>
                <w:lang w:eastAsia="en-US"/>
              </w:rPr>
              <w:t>隐患整改通知单</w:t>
            </w:r>
            <w:r>
              <w:rPr>
                <w:rFonts w:hint="eastAsia" w:ascii="Times New Roman" w:hAnsi="Times New Roman" w:cs="宋体"/>
                <w:bCs/>
                <w:snapToGrid w:val="0"/>
                <w:color w:val="000000"/>
                <w:spacing w:val="6"/>
                <w:kern w:val="0"/>
                <w:position w:val="7"/>
                <w:sz w:val="18"/>
                <w:szCs w:val="18"/>
              </w:rPr>
              <w:t>编号</w:t>
            </w:r>
          </w:p>
        </w:tc>
        <w:tc>
          <w:tcPr>
            <w:tcW w:w="937" w:type="pct"/>
            <w:tcBorders>
              <w:bottom w:val="single" w:color="auto" w:sz="4" w:space="0"/>
            </w:tcBorders>
            <w:vAlign w:val="center"/>
          </w:tcPr>
          <w:p w14:paraId="7394C903">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c>
          <w:tcPr>
            <w:tcW w:w="1238" w:type="pct"/>
            <w:tcBorders>
              <w:bottom w:val="single" w:color="auto" w:sz="4" w:space="0"/>
            </w:tcBorders>
            <w:vAlign w:val="center"/>
          </w:tcPr>
          <w:p w14:paraId="2468C97D">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7"/>
                <w:kern w:val="0"/>
                <w:sz w:val="18"/>
                <w:szCs w:val="18"/>
                <w:lang w:eastAsia="en-US"/>
              </w:rPr>
              <w:t>隐患整改工作单编号</w:t>
            </w:r>
          </w:p>
        </w:tc>
        <w:tc>
          <w:tcPr>
            <w:tcW w:w="1000" w:type="pct"/>
            <w:tcBorders>
              <w:bottom w:val="single" w:color="auto" w:sz="4" w:space="0"/>
            </w:tcBorders>
            <w:vAlign w:val="center"/>
          </w:tcPr>
          <w:p w14:paraId="638E8D6E">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036CC701">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1824" w:type="pct"/>
            <w:gridSpan w:val="2"/>
            <w:tcBorders>
              <w:top w:val="single" w:color="auto" w:sz="4" w:space="0"/>
            </w:tcBorders>
            <w:vAlign w:val="center"/>
          </w:tcPr>
          <w:p w14:paraId="35A5673F">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rPr>
            </w:pPr>
            <w:r>
              <w:rPr>
                <w:rFonts w:ascii="Times New Roman" w:hAnsi="Times New Roman" w:cs="宋体"/>
                <w:bCs/>
                <w:snapToGrid w:val="0"/>
                <w:color w:val="000000"/>
                <w:spacing w:val="4"/>
                <w:kern w:val="0"/>
                <w:sz w:val="18"/>
                <w:szCs w:val="18"/>
                <w:lang w:eastAsia="en-US"/>
              </w:rPr>
              <w:t>问题隐患</w:t>
            </w:r>
            <w:r>
              <w:rPr>
                <w:rFonts w:hint="eastAsia" w:ascii="Times New Roman" w:hAnsi="Times New Roman" w:cs="宋体"/>
                <w:bCs/>
                <w:snapToGrid w:val="0"/>
                <w:color w:val="000000"/>
                <w:spacing w:val="4"/>
                <w:kern w:val="0"/>
                <w:sz w:val="18"/>
                <w:szCs w:val="18"/>
              </w:rPr>
              <w:t>位置</w:t>
            </w:r>
          </w:p>
        </w:tc>
        <w:tc>
          <w:tcPr>
            <w:tcW w:w="3175" w:type="pct"/>
            <w:gridSpan w:val="3"/>
            <w:tcBorders>
              <w:top w:val="single" w:color="auto" w:sz="4" w:space="0"/>
            </w:tcBorders>
            <w:vAlign w:val="center"/>
          </w:tcPr>
          <w:p w14:paraId="5D19B2AA">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041644C1">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1542" w:hRule="atLeast"/>
          <w:jc w:val="center"/>
        </w:trPr>
        <w:tc>
          <w:tcPr>
            <w:tcW w:w="1824" w:type="pct"/>
            <w:gridSpan w:val="2"/>
            <w:vAlign w:val="center"/>
          </w:tcPr>
          <w:p w14:paraId="2B8C85D2">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4"/>
                <w:kern w:val="0"/>
                <w:sz w:val="18"/>
                <w:szCs w:val="18"/>
                <w:lang w:eastAsia="en-US"/>
              </w:rPr>
              <w:t>问题隐患情况</w:t>
            </w:r>
          </w:p>
        </w:tc>
        <w:tc>
          <w:tcPr>
            <w:tcW w:w="3175" w:type="pct"/>
            <w:gridSpan w:val="3"/>
            <w:vAlign w:val="center"/>
          </w:tcPr>
          <w:p w14:paraId="6CE89E16">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16F10731">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2278" w:hRule="atLeast"/>
          <w:jc w:val="center"/>
        </w:trPr>
        <w:tc>
          <w:tcPr>
            <w:tcW w:w="1824" w:type="pct"/>
            <w:gridSpan w:val="2"/>
            <w:vAlign w:val="center"/>
          </w:tcPr>
          <w:p w14:paraId="432E5ECD">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5"/>
                <w:kern w:val="0"/>
                <w:sz w:val="18"/>
                <w:szCs w:val="18"/>
                <w:lang w:eastAsia="en-US"/>
              </w:rPr>
              <w:t>问题隐患整改措施</w:t>
            </w:r>
          </w:p>
        </w:tc>
        <w:tc>
          <w:tcPr>
            <w:tcW w:w="3175" w:type="pct"/>
            <w:gridSpan w:val="3"/>
            <w:vAlign w:val="center"/>
          </w:tcPr>
          <w:p w14:paraId="6B4E553B">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5CFEAAA9">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1824" w:type="pct"/>
            <w:gridSpan w:val="2"/>
            <w:vAlign w:val="center"/>
          </w:tcPr>
          <w:p w14:paraId="444B5634">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rPr>
            </w:pPr>
            <w:r>
              <w:rPr>
                <w:rFonts w:ascii="Times New Roman" w:hAnsi="Times New Roman" w:cs="宋体"/>
                <w:bCs/>
                <w:snapToGrid w:val="0"/>
                <w:color w:val="000000"/>
                <w:spacing w:val="8"/>
                <w:kern w:val="0"/>
                <w:sz w:val="18"/>
                <w:szCs w:val="18"/>
              </w:rPr>
              <w:t>整改复查验收责任部门</w:t>
            </w:r>
          </w:p>
        </w:tc>
        <w:tc>
          <w:tcPr>
            <w:tcW w:w="3175" w:type="pct"/>
            <w:gridSpan w:val="3"/>
            <w:vAlign w:val="center"/>
          </w:tcPr>
          <w:p w14:paraId="231AA2EC">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rPr>
            </w:pPr>
          </w:p>
        </w:tc>
      </w:tr>
      <w:tr w14:paraId="0616E093">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1824" w:type="pct"/>
            <w:gridSpan w:val="2"/>
            <w:vAlign w:val="center"/>
          </w:tcPr>
          <w:p w14:paraId="7933B4F6">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8"/>
                <w:kern w:val="0"/>
                <w:sz w:val="18"/>
                <w:szCs w:val="18"/>
                <w:lang w:eastAsia="en-US"/>
              </w:rPr>
              <w:t>整改复查验收时间</w:t>
            </w:r>
          </w:p>
        </w:tc>
        <w:tc>
          <w:tcPr>
            <w:tcW w:w="3175" w:type="pct"/>
            <w:gridSpan w:val="3"/>
            <w:vAlign w:val="center"/>
          </w:tcPr>
          <w:p w14:paraId="5892F68F">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50BBD6EF">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2894" w:hRule="atLeast"/>
          <w:jc w:val="center"/>
        </w:trPr>
        <w:tc>
          <w:tcPr>
            <w:tcW w:w="5000" w:type="pct"/>
            <w:gridSpan w:val="5"/>
          </w:tcPr>
          <w:p w14:paraId="4E1479F3">
            <w:pPr>
              <w:wordWrap w:val="0"/>
              <w:topLinePunct/>
              <w:autoSpaceDE w:val="0"/>
              <w:autoSpaceDN w:val="0"/>
              <w:snapToGrid w:val="0"/>
              <w:spacing w:line="240" w:lineRule="auto"/>
              <w:textAlignment w:val="baseline"/>
              <w:rPr>
                <w:rFonts w:ascii="Times New Roman" w:hAnsi="Times New Roman" w:cs="宋体"/>
                <w:bCs/>
                <w:snapToGrid w:val="0"/>
                <w:color w:val="000000"/>
                <w:kern w:val="0"/>
                <w:sz w:val="18"/>
                <w:szCs w:val="18"/>
              </w:rPr>
            </w:pPr>
            <w:r>
              <w:rPr>
                <w:rFonts w:ascii="Times New Roman" w:hAnsi="Times New Roman" w:cs="宋体"/>
                <w:bCs/>
                <w:snapToGrid w:val="0"/>
                <w:color w:val="000000"/>
                <w:spacing w:val="7"/>
                <w:kern w:val="0"/>
                <w:sz w:val="18"/>
                <w:szCs w:val="18"/>
              </w:rPr>
              <w:t>隐患整改验收结果及评估：</w:t>
            </w:r>
          </w:p>
        </w:tc>
      </w:tr>
      <w:tr w14:paraId="2B0B0710">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903" w:hRule="atLeast"/>
          <w:jc w:val="center"/>
        </w:trPr>
        <w:tc>
          <w:tcPr>
            <w:tcW w:w="1615" w:type="pct"/>
            <w:vAlign w:val="center"/>
          </w:tcPr>
          <w:p w14:paraId="39C83F5E">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8"/>
                <w:kern w:val="0"/>
                <w:sz w:val="18"/>
                <w:szCs w:val="18"/>
                <w:lang w:eastAsia="en-US"/>
              </w:rPr>
              <w:t>整改复查验收责任人</w:t>
            </w:r>
          </w:p>
        </w:tc>
        <w:tc>
          <w:tcPr>
            <w:tcW w:w="3384" w:type="pct"/>
            <w:gridSpan w:val="4"/>
            <w:vAlign w:val="center"/>
          </w:tcPr>
          <w:p w14:paraId="2E13FF1C">
            <w:pPr>
              <w:widowControl/>
              <w:wordWrap w:val="0"/>
              <w:topLinePunct/>
              <w:autoSpaceDE w:val="0"/>
              <w:autoSpaceDN w:val="0"/>
              <w:snapToGrid w:val="0"/>
              <w:spacing w:line="240" w:lineRule="auto"/>
              <w:jc w:val="center"/>
              <w:textAlignment w:val="baseline"/>
              <w:rPr>
                <w:rFonts w:ascii="Times New Roman" w:hAnsi="Times New Roman" w:cs="Arial"/>
                <w:bCs/>
                <w:snapToGrid w:val="0"/>
                <w:color w:val="000000"/>
                <w:kern w:val="0"/>
                <w:sz w:val="18"/>
                <w:szCs w:val="18"/>
                <w:lang w:eastAsia="en-US"/>
              </w:rPr>
            </w:pPr>
          </w:p>
        </w:tc>
      </w:tr>
      <w:tr w14:paraId="299B4DBC">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0" w:type="dxa"/>
            <w:bottom w:w="0" w:type="dxa"/>
            <w:right w:w="0" w:type="dxa"/>
          </w:tblCellMar>
        </w:tblPrEx>
        <w:trPr>
          <w:trHeight w:val="950" w:hRule="atLeast"/>
          <w:jc w:val="center"/>
        </w:trPr>
        <w:tc>
          <w:tcPr>
            <w:tcW w:w="1615" w:type="pct"/>
            <w:vAlign w:val="center"/>
          </w:tcPr>
          <w:p w14:paraId="37DEE1C6">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lang w:eastAsia="en-US"/>
              </w:rPr>
            </w:pPr>
            <w:r>
              <w:rPr>
                <w:rFonts w:ascii="Times New Roman" w:hAnsi="Times New Roman" w:cs="宋体"/>
                <w:bCs/>
                <w:snapToGrid w:val="0"/>
                <w:color w:val="000000"/>
                <w:spacing w:val="3"/>
                <w:kern w:val="0"/>
                <w:sz w:val="18"/>
                <w:szCs w:val="18"/>
                <w:lang w:eastAsia="en-US"/>
              </w:rPr>
              <w:t>备注</w:t>
            </w:r>
          </w:p>
        </w:tc>
        <w:tc>
          <w:tcPr>
            <w:tcW w:w="3384" w:type="pct"/>
            <w:gridSpan w:val="4"/>
            <w:vAlign w:val="center"/>
          </w:tcPr>
          <w:p w14:paraId="3A2FE97A">
            <w:pPr>
              <w:wordWrap w:val="0"/>
              <w:topLinePunct/>
              <w:autoSpaceDE w:val="0"/>
              <w:autoSpaceDN w:val="0"/>
              <w:snapToGrid w:val="0"/>
              <w:spacing w:line="240" w:lineRule="auto"/>
              <w:jc w:val="center"/>
              <w:textAlignment w:val="baseline"/>
              <w:rPr>
                <w:rFonts w:ascii="Times New Roman" w:hAnsi="Times New Roman" w:cs="宋体"/>
                <w:bCs/>
                <w:snapToGrid w:val="0"/>
                <w:color w:val="000000"/>
                <w:kern w:val="0"/>
                <w:sz w:val="18"/>
                <w:szCs w:val="18"/>
              </w:rPr>
            </w:pPr>
            <w:r>
              <w:rPr>
                <w:rFonts w:ascii="Times New Roman" w:hAnsi="Times New Roman" w:cs="宋体"/>
                <w:bCs/>
                <w:snapToGrid w:val="0"/>
                <w:color w:val="000000"/>
                <w:spacing w:val="8"/>
                <w:kern w:val="0"/>
                <w:sz w:val="18"/>
                <w:szCs w:val="18"/>
              </w:rPr>
              <w:t>整改前后对</w:t>
            </w:r>
            <w:r>
              <w:rPr>
                <w:rFonts w:hint="eastAsia" w:ascii="Times New Roman" w:hAnsi="Times New Roman" w:cs="宋体"/>
                <w:bCs/>
                <w:snapToGrid w:val="0"/>
                <w:color w:val="000000"/>
                <w:spacing w:val="8"/>
                <w:kern w:val="0"/>
                <w:sz w:val="18"/>
                <w:szCs w:val="18"/>
              </w:rPr>
              <w:t>比</w:t>
            </w:r>
            <w:r>
              <w:rPr>
                <w:rFonts w:ascii="Times New Roman" w:hAnsi="Times New Roman" w:cs="宋体"/>
                <w:bCs/>
                <w:snapToGrid w:val="0"/>
                <w:color w:val="000000"/>
                <w:spacing w:val="8"/>
                <w:kern w:val="0"/>
                <w:sz w:val="18"/>
                <w:szCs w:val="18"/>
              </w:rPr>
              <w:t>照片附后</w:t>
            </w:r>
          </w:p>
        </w:tc>
      </w:tr>
    </w:tbl>
    <w:p w14:paraId="06699543">
      <w:pPr>
        <w:pStyle w:val="147"/>
        <w:spacing w:before="158" w:after="158"/>
      </w:pPr>
      <w:r>
        <w:br w:type="page"/>
      </w:r>
      <w:r>
        <w:t>隐患排查治理汇总表</w:t>
      </w:r>
    </w:p>
    <w:tbl>
      <w:tblPr>
        <w:tblStyle w:val="27"/>
        <w:tblW w:w="4994"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88"/>
        <w:gridCol w:w="513"/>
        <w:gridCol w:w="513"/>
        <w:gridCol w:w="513"/>
        <w:gridCol w:w="513"/>
        <w:gridCol w:w="513"/>
        <w:gridCol w:w="513"/>
        <w:gridCol w:w="513"/>
        <w:gridCol w:w="721"/>
        <w:gridCol w:w="721"/>
        <w:gridCol w:w="721"/>
        <w:gridCol w:w="625"/>
        <w:gridCol w:w="625"/>
        <w:gridCol w:w="722"/>
        <w:gridCol w:w="625"/>
        <w:gridCol w:w="625"/>
      </w:tblGrid>
      <w:tr w14:paraId="2A2800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207" w:type="pct"/>
            <w:tcBorders>
              <w:bottom w:val="single" w:color="auto" w:sz="8" w:space="0"/>
            </w:tcBorders>
            <w:vAlign w:val="center"/>
          </w:tcPr>
          <w:p w14:paraId="107B8E40">
            <w:pPr>
              <w:adjustRightInd/>
              <w:snapToGrid w:val="0"/>
              <w:spacing w:line="240" w:lineRule="auto"/>
              <w:jc w:val="center"/>
              <w:rPr>
                <w:rFonts w:ascii="仿宋_GB2312" w:hAnsi="Times New Roman" w:eastAsia="仿宋_GB2312"/>
                <w:b/>
                <w:sz w:val="18"/>
                <w:szCs w:val="18"/>
              </w:rPr>
            </w:pPr>
            <w:r>
              <w:rPr>
                <w:rFonts w:hint="eastAsia" w:ascii="宋体" w:hAnsi="宋体" w:cs="宋体"/>
                <w:bCs/>
                <w:sz w:val="18"/>
                <w:szCs w:val="18"/>
              </w:rPr>
              <w:t>编号</w:t>
            </w:r>
          </w:p>
        </w:tc>
        <w:tc>
          <w:tcPr>
            <w:tcW w:w="274" w:type="pct"/>
            <w:tcBorders>
              <w:bottom w:val="single" w:color="auto" w:sz="8" w:space="0"/>
            </w:tcBorders>
            <w:vAlign w:val="center"/>
          </w:tcPr>
          <w:p w14:paraId="47335C8C">
            <w:pPr>
              <w:adjustRightInd/>
              <w:snapToGrid w:val="0"/>
              <w:spacing w:line="240" w:lineRule="auto"/>
              <w:jc w:val="center"/>
              <w:rPr>
                <w:rFonts w:ascii="仿宋_GB2312" w:hAnsi="Times New Roman" w:eastAsia="仿宋_GB2312"/>
                <w:b/>
                <w:sz w:val="18"/>
                <w:szCs w:val="18"/>
              </w:rPr>
            </w:pPr>
            <w:r>
              <w:rPr>
                <w:rFonts w:hint="eastAsia" w:ascii="宋体" w:hAnsi="宋体" w:cs="宋体"/>
                <w:bCs/>
                <w:sz w:val="18"/>
                <w:szCs w:val="18"/>
              </w:rPr>
              <w:t>排查部门</w:t>
            </w:r>
          </w:p>
        </w:tc>
        <w:tc>
          <w:tcPr>
            <w:tcW w:w="274" w:type="pct"/>
            <w:tcBorders>
              <w:bottom w:val="single" w:color="auto" w:sz="8" w:space="0"/>
            </w:tcBorders>
            <w:vAlign w:val="center"/>
          </w:tcPr>
          <w:p w14:paraId="00FCDDDA">
            <w:pPr>
              <w:adjustRightInd/>
              <w:snapToGrid w:val="0"/>
              <w:spacing w:line="240" w:lineRule="auto"/>
              <w:jc w:val="center"/>
              <w:rPr>
                <w:rFonts w:ascii="仿宋_GB2312" w:hAnsi="Times New Roman" w:eastAsia="仿宋_GB2312"/>
                <w:b/>
                <w:sz w:val="18"/>
                <w:szCs w:val="18"/>
              </w:rPr>
            </w:pPr>
            <w:r>
              <w:rPr>
                <w:rFonts w:hint="eastAsia" w:ascii="宋体" w:hAnsi="宋体" w:cs="宋体"/>
                <w:bCs/>
                <w:sz w:val="18"/>
                <w:szCs w:val="18"/>
              </w:rPr>
              <w:t>排查人员</w:t>
            </w:r>
          </w:p>
        </w:tc>
        <w:tc>
          <w:tcPr>
            <w:tcW w:w="274" w:type="pct"/>
            <w:tcBorders>
              <w:bottom w:val="single" w:color="auto" w:sz="8" w:space="0"/>
            </w:tcBorders>
            <w:vAlign w:val="center"/>
          </w:tcPr>
          <w:p w14:paraId="6531E505">
            <w:pPr>
              <w:adjustRightInd/>
              <w:snapToGrid w:val="0"/>
              <w:spacing w:line="240" w:lineRule="auto"/>
              <w:jc w:val="center"/>
              <w:rPr>
                <w:rFonts w:ascii="仿宋_GB2312" w:hAnsi="Times New Roman" w:eastAsia="仿宋_GB2312"/>
                <w:b/>
                <w:sz w:val="18"/>
                <w:szCs w:val="18"/>
              </w:rPr>
            </w:pPr>
            <w:r>
              <w:rPr>
                <w:rFonts w:hint="eastAsia" w:ascii="宋体" w:hAnsi="宋体" w:cs="宋体"/>
                <w:bCs/>
                <w:sz w:val="18"/>
                <w:szCs w:val="18"/>
              </w:rPr>
              <w:t>排查时间</w:t>
            </w:r>
          </w:p>
        </w:tc>
        <w:tc>
          <w:tcPr>
            <w:tcW w:w="274" w:type="pct"/>
            <w:tcBorders>
              <w:bottom w:val="single" w:color="auto" w:sz="8" w:space="0"/>
            </w:tcBorders>
            <w:vAlign w:val="center"/>
          </w:tcPr>
          <w:p w14:paraId="249E29A2">
            <w:pPr>
              <w:adjustRightInd/>
              <w:snapToGrid w:val="0"/>
              <w:spacing w:line="240" w:lineRule="auto"/>
              <w:jc w:val="center"/>
              <w:rPr>
                <w:rFonts w:ascii="仿宋_GB2312" w:hAnsi="Times New Roman" w:eastAsia="仿宋_GB2312"/>
                <w:b/>
                <w:sz w:val="18"/>
                <w:szCs w:val="18"/>
              </w:rPr>
            </w:pPr>
            <w:r>
              <w:rPr>
                <w:rFonts w:hint="eastAsia" w:ascii="宋体" w:hAnsi="宋体" w:cs="宋体"/>
                <w:bCs/>
                <w:sz w:val="18"/>
                <w:szCs w:val="18"/>
              </w:rPr>
              <w:t>隐患地点</w:t>
            </w:r>
          </w:p>
        </w:tc>
        <w:tc>
          <w:tcPr>
            <w:tcW w:w="274" w:type="pct"/>
            <w:tcBorders>
              <w:bottom w:val="single" w:color="auto" w:sz="8" w:space="0"/>
            </w:tcBorders>
            <w:vAlign w:val="center"/>
          </w:tcPr>
          <w:p w14:paraId="64E10CD7">
            <w:pPr>
              <w:adjustRightInd/>
              <w:snapToGrid w:val="0"/>
              <w:spacing w:line="240" w:lineRule="auto"/>
              <w:jc w:val="center"/>
              <w:rPr>
                <w:rFonts w:ascii="仿宋_GB2312" w:hAnsi="Times New Roman" w:eastAsia="仿宋_GB2312"/>
                <w:b/>
                <w:sz w:val="18"/>
                <w:szCs w:val="18"/>
              </w:rPr>
            </w:pPr>
            <w:r>
              <w:rPr>
                <w:rFonts w:hint="eastAsia" w:ascii="宋体" w:hAnsi="宋体" w:cs="宋体"/>
                <w:bCs/>
                <w:sz w:val="18"/>
                <w:szCs w:val="18"/>
              </w:rPr>
              <w:t>隐患描述</w:t>
            </w:r>
          </w:p>
        </w:tc>
        <w:tc>
          <w:tcPr>
            <w:tcW w:w="274" w:type="pct"/>
            <w:tcBorders>
              <w:bottom w:val="single" w:color="auto" w:sz="8" w:space="0"/>
            </w:tcBorders>
            <w:vAlign w:val="center"/>
          </w:tcPr>
          <w:p w14:paraId="7E69B463">
            <w:pPr>
              <w:adjustRightInd/>
              <w:snapToGrid w:val="0"/>
              <w:spacing w:line="240" w:lineRule="auto"/>
              <w:jc w:val="center"/>
              <w:rPr>
                <w:rFonts w:ascii="宋体" w:hAnsi="宋体" w:cs="宋体"/>
                <w:bCs/>
                <w:sz w:val="18"/>
                <w:szCs w:val="18"/>
              </w:rPr>
            </w:pPr>
            <w:r>
              <w:rPr>
                <w:rFonts w:hint="eastAsia" w:ascii="宋体" w:hAnsi="宋体" w:cs="宋体"/>
                <w:bCs/>
                <w:sz w:val="18"/>
                <w:szCs w:val="18"/>
              </w:rPr>
              <w:t>隐患等级</w:t>
            </w:r>
          </w:p>
        </w:tc>
        <w:tc>
          <w:tcPr>
            <w:tcW w:w="274" w:type="pct"/>
            <w:tcBorders>
              <w:bottom w:val="single" w:color="auto" w:sz="8" w:space="0"/>
            </w:tcBorders>
            <w:vAlign w:val="center"/>
          </w:tcPr>
          <w:p w14:paraId="4BE6C91A">
            <w:pPr>
              <w:adjustRightInd/>
              <w:snapToGrid w:val="0"/>
              <w:spacing w:line="240" w:lineRule="auto"/>
              <w:jc w:val="center"/>
              <w:rPr>
                <w:rFonts w:ascii="仿宋_GB2312" w:hAnsi="Times New Roman" w:eastAsia="仿宋_GB2312"/>
                <w:b/>
                <w:sz w:val="18"/>
                <w:szCs w:val="18"/>
              </w:rPr>
            </w:pPr>
            <w:r>
              <w:rPr>
                <w:rFonts w:hint="eastAsia" w:ascii="宋体" w:hAnsi="宋体" w:cs="宋体"/>
                <w:bCs/>
                <w:sz w:val="18"/>
                <w:szCs w:val="18"/>
              </w:rPr>
              <w:t>整改措施</w:t>
            </w:r>
          </w:p>
        </w:tc>
        <w:tc>
          <w:tcPr>
            <w:tcW w:w="385" w:type="pct"/>
            <w:tcBorders>
              <w:bottom w:val="single" w:color="auto" w:sz="8" w:space="0"/>
            </w:tcBorders>
            <w:vAlign w:val="center"/>
          </w:tcPr>
          <w:p w14:paraId="38F5AFD0">
            <w:pPr>
              <w:adjustRightInd/>
              <w:snapToGrid w:val="0"/>
              <w:spacing w:line="240" w:lineRule="auto"/>
              <w:jc w:val="center"/>
              <w:rPr>
                <w:rFonts w:ascii="仿宋_GB2312" w:hAnsi="Times New Roman" w:eastAsia="仿宋_GB2312"/>
                <w:b/>
                <w:sz w:val="18"/>
                <w:szCs w:val="18"/>
              </w:rPr>
            </w:pPr>
            <w:r>
              <w:rPr>
                <w:rFonts w:hint="eastAsia" w:ascii="宋体" w:hAnsi="宋体" w:cs="宋体"/>
                <w:bCs/>
                <w:sz w:val="18"/>
                <w:szCs w:val="18"/>
              </w:rPr>
              <w:t>整改完成时间</w:t>
            </w:r>
          </w:p>
        </w:tc>
        <w:tc>
          <w:tcPr>
            <w:tcW w:w="385" w:type="pct"/>
            <w:tcBorders>
              <w:bottom w:val="single" w:color="auto" w:sz="8" w:space="0"/>
            </w:tcBorders>
            <w:vAlign w:val="center"/>
          </w:tcPr>
          <w:p w14:paraId="4DCE7016">
            <w:pPr>
              <w:adjustRightInd/>
              <w:snapToGrid w:val="0"/>
              <w:spacing w:line="240" w:lineRule="auto"/>
              <w:jc w:val="center"/>
              <w:rPr>
                <w:rFonts w:ascii="仿宋_GB2312" w:hAnsi="Times New Roman" w:eastAsia="仿宋_GB2312"/>
                <w:b/>
                <w:sz w:val="18"/>
                <w:szCs w:val="18"/>
              </w:rPr>
            </w:pPr>
            <w:r>
              <w:rPr>
                <w:rFonts w:hint="eastAsia" w:ascii="宋体" w:hAnsi="宋体" w:cs="宋体"/>
                <w:bCs/>
                <w:sz w:val="18"/>
                <w:szCs w:val="18"/>
              </w:rPr>
              <w:t>整改实施部门</w:t>
            </w:r>
          </w:p>
        </w:tc>
        <w:tc>
          <w:tcPr>
            <w:tcW w:w="385" w:type="pct"/>
            <w:tcBorders>
              <w:bottom w:val="single" w:color="auto" w:sz="8" w:space="0"/>
            </w:tcBorders>
            <w:vAlign w:val="center"/>
          </w:tcPr>
          <w:p w14:paraId="61B88A7C">
            <w:pPr>
              <w:adjustRightInd/>
              <w:snapToGrid w:val="0"/>
              <w:spacing w:line="240" w:lineRule="auto"/>
              <w:jc w:val="center"/>
              <w:rPr>
                <w:rFonts w:ascii="仿宋_GB2312" w:hAnsi="Times New Roman" w:eastAsia="仿宋_GB2312"/>
                <w:b/>
                <w:sz w:val="18"/>
                <w:szCs w:val="18"/>
              </w:rPr>
            </w:pPr>
            <w:r>
              <w:rPr>
                <w:rFonts w:hint="eastAsia" w:ascii="宋体" w:hAnsi="宋体" w:cs="宋体"/>
                <w:bCs/>
                <w:sz w:val="18"/>
                <w:szCs w:val="18"/>
              </w:rPr>
              <w:t>整改实施人员</w:t>
            </w:r>
          </w:p>
        </w:tc>
        <w:tc>
          <w:tcPr>
            <w:tcW w:w="333" w:type="pct"/>
            <w:tcBorders>
              <w:bottom w:val="single" w:color="auto" w:sz="8" w:space="0"/>
            </w:tcBorders>
            <w:vAlign w:val="center"/>
          </w:tcPr>
          <w:p w14:paraId="1A72698C">
            <w:pPr>
              <w:adjustRightInd/>
              <w:snapToGrid w:val="0"/>
              <w:spacing w:line="240" w:lineRule="auto"/>
              <w:jc w:val="center"/>
              <w:rPr>
                <w:rFonts w:ascii="宋体" w:hAnsi="宋体" w:cs="宋体"/>
                <w:bCs/>
                <w:sz w:val="18"/>
                <w:szCs w:val="18"/>
              </w:rPr>
            </w:pPr>
            <w:r>
              <w:rPr>
                <w:rFonts w:hint="eastAsia" w:ascii="宋体" w:hAnsi="宋体" w:cs="宋体"/>
                <w:bCs/>
                <w:sz w:val="18"/>
                <w:szCs w:val="18"/>
              </w:rPr>
              <w:t>验收结果</w:t>
            </w:r>
          </w:p>
        </w:tc>
        <w:tc>
          <w:tcPr>
            <w:tcW w:w="333" w:type="pct"/>
            <w:tcBorders>
              <w:bottom w:val="single" w:color="auto" w:sz="8" w:space="0"/>
            </w:tcBorders>
            <w:vAlign w:val="center"/>
          </w:tcPr>
          <w:p w14:paraId="340C9FFA">
            <w:pPr>
              <w:adjustRightInd/>
              <w:snapToGrid w:val="0"/>
              <w:spacing w:line="240" w:lineRule="auto"/>
              <w:jc w:val="center"/>
              <w:rPr>
                <w:rFonts w:ascii="宋体" w:hAnsi="宋体" w:cs="宋体"/>
                <w:bCs/>
                <w:sz w:val="18"/>
                <w:szCs w:val="18"/>
              </w:rPr>
            </w:pPr>
            <w:r>
              <w:rPr>
                <w:rFonts w:hint="eastAsia" w:ascii="宋体" w:hAnsi="宋体" w:cs="宋体"/>
                <w:bCs/>
                <w:sz w:val="18"/>
                <w:szCs w:val="18"/>
              </w:rPr>
              <w:t>复查验收时间</w:t>
            </w:r>
          </w:p>
        </w:tc>
        <w:tc>
          <w:tcPr>
            <w:tcW w:w="385" w:type="pct"/>
            <w:tcBorders>
              <w:bottom w:val="single" w:color="auto" w:sz="8" w:space="0"/>
            </w:tcBorders>
            <w:vAlign w:val="center"/>
          </w:tcPr>
          <w:p w14:paraId="4D2337B6">
            <w:pPr>
              <w:adjustRightInd/>
              <w:snapToGrid w:val="0"/>
              <w:spacing w:line="240" w:lineRule="auto"/>
              <w:jc w:val="center"/>
              <w:rPr>
                <w:rFonts w:ascii="仿宋_GB2312" w:hAnsi="Times New Roman" w:eastAsia="仿宋_GB2312"/>
                <w:b/>
                <w:sz w:val="18"/>
                <w:szCs w:val="18"/>
              </w:rPr>
            </w:pPr>
            <w:r>
              <w:rPr>
                <w:rFonts w:hint="eastAsia" w:ascii="宋体" w:hAnsi="宋体" w:cs="宋体"/>
                <w:bCs/>
                <w:sz w:val="18"/>
                <w:szCs w:val="18"/>
              </w:rPr>
              <w:t>复查验收部门</w:t>
            </w:r>
          </w:p>
        </w:tc>
        <w:tc>
          <w:tcPr>
            <w:tcW w:w="333" w:type="pct"/>
            <w:tcBorders>
              <w:bottom w:val="single" w:color="auto" w:sz="8" w:space="0"/>
            </w:tcBorders>
            <w:vAlign w:val="center"/>
          </w:tcPr>
          <w:p w14:paraId="19099504">
            <w:pPr>
              <w:adjustRightInd/>
              <w:snapToGrid w:val="0"/>
              <w:spacing w:line="240" w:lineRule="auto"/>
              <w:jc w:val="center"/>
              <w:rPr>
                <w:rFonts w:ascii="仿宋_GB2312" w:hAnsi="Times New Roman" w:eastAsia="仿宋_GB2312"/>
                <w:b/>
                <w:sz w:val="18"/>
                <w:szCs w:val="18"/>
              </w:rPr>
            </w:pPr>
            <w:r>
              <w:rPr>
                <w:rFonts w:hint="eastAsia" w:ascii="宋体" w:hAnsi="宋体" w:cs="宋体"/>
                <w:bCs/>
                <w:sz w:val="18"/>
                <w:szCs w:val="18"/>
              </w:rPr>
              <w:t>复核验收人</w:t>
            </w:r>
          </w:p>
        </w:tc>
        <w:tc>
          <w:tcPr>
            <w:tcW w:w="333" w:type="pct"/>
            <w:tcBorders>
              <w:bottom w:val="single" w:color="auto" w:sz="8" w:space="0"/>
            </w:tcBorders>
            <w:vAlign w:val="center"/>
          </w:tcPr>
          <w:p w14:paraId="57D1AF4E">
            <w:pPr>
              <w:adjustRightInd/>
              <w:snapToGrid w:val="0"/>
              <w:spacing w:line="240" w:lineRule="auto"/>
              <w:jc w:val="center"/>
              <w:rPr>
                <w:rFonts w:ascii="宋体" w:hAnsi="宋体" w:cs="宋体"/>
                <w:bCs/>
                <w:sz w:val="18"/>
                <w:szCs w:val="18"/>
              </w:rPr>
            </w:pPr>
            <w:r>
              <w:rPr>
                <w:rFonts w:hint="eastAsia" w:ascii="宋体" w:hAnsi="宋体" w:cs="宋体"/>
                <w:bCs/>
                <w:sz w:val="18"/>
                <w:szCs w:val="18"/>
              </w:rPr>
              <w:t>整改前后照片</w:t>
            </w:r>
          </w:p>
        </w:tc>
      </w:tr>
      <w:tr w14:paraId="789A68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07" w:type="pct"/>
            <w:tcBorders>
              <w:top w:val="single" w:color="auto" w:sz="8" w:space="0"/>
            </w:tcBorders>
          </w:tcPr>
          <w:p w14:paraId="710978F2">
            <w:pPr>
              <w:adjustRightInd/>
              <w:snapToGrid w:val="0"/>
              <w:spacing w:line="240" w:lineRule="auto"/>
              <w:rPr>
                <w:rFonts w:ascii="仿宋_GB2312" w:hAnsi="Times New Roman" w:eastAsia="仿宋_GB2312"/>
                <w:b/>
                <w:sz w:val="18"/>
                <w:szCs w:val="18"/>
              </w:rPr>
            </w:pPr>
          </w:p>
        </w:tc>
        <w:tc>
          <w:tcPr>
            <w:tcW w:w="274" w:type="pct"/>
            <w:tcBorders>
              <w:top w:val="single" w:color="auto" w:sz="8" w:space="0"/>
            </w:tcBorders>
          </w:tcPr>
          <w:p w14:paraId="5BA2D2F9">
            <w:pPr>
              <w:adjustRightInd/>
              <w:snapToGrid w:val="0"/>
              <w:spacing w:line="240" w:lineRule="auto"/>
              <w:rPr>
                <w:rFonts w:ascii="仿宋_GB2312" w:hAnsi="Times New Roman" w:eastAsia="仿宋_GB2312"/>
                <w:b/>
                <w:sz w:val="18"/>
                <w:szCs w:val="18"/>
              </w:rPr>
            </w:pPr>
          </w:p>
        </w:tc>
        <w:tc>
          <w:tcPr>
            <w:tcW w:w="274" w:type="pct"/>
            <w:tcBorders>
              <w:top w:val="single" w:color="auto" w:sz="8" w:space="0"/>
            </w:tcBorders>
          </w:tcPr>
          <w:p w14:paraId="2AA307CF">
            <w:pPr>
              <w:adjustRightInd/>
              <w:snapToGrid w:val="0"/>
              <w:spacing w:line="240" w:lineRule="auto"/>
              <w:rPr>
                <w:rFonts w:ascii="仿宋_GB2312" w:hAnsi="Times New Roman" w:eastAsia="仿宋_GB2312"/>
                <w:b/>
                <w:sz w:val="18"/>
                <w:szCs w:val="18"/>
              </w:rPr>
            </w:pPr>
          </w:p>
        </w:tc>
        <w:tc>
          <w:tcPr>
            <w:tcW w:w="274" w:type="pct"/>
            <w:tcBorders>
              <w:top w:val="single" w:color="auto" w:sz="8" w:space="0"/>
            </w:tcBorders>
          </w:tcPr>
          <w:p w14:paraId="34F745EE">
            <w:pPr>
              <w:adjustRightInd/>
              <w:snapToGrid w:val="0"/>
              <w:spacing w:line="240" w:lineRule="auto"/>
              <w:rPr>
                <w:rFonts w:ascii="仿宋_GB2312" w:hAnsi="Times New Roman" w:eastAsia="仿宋_GB2312"/>
                <w:b/>
                <w:sz w:val="18"/>
                <w:szCs w:val="18"/>
              </w:rPr>
            </w:pPr>
          </w:p>
        </w:tc>
        <w:tc>
          <w:tcPr>
            <w:tcW w:w="274" w:type="pct"/>
            <w:tcBorders>
              <w:top w:val="single" w:color="auto" w:sz="8" w:space="0"/>
            </w:tcBorders>
          </w:tcPr>
          <w:p w14:paraId="43B22BA8">
            <w:pPr>
              <w:adjustRightInd/>
              <w:snapToGrid w:val="0"/>
              <w:spacing w:line="240" w:lineRule="auto"/>
              <w:rPr>
                <w:rFonts w:ascii="仿宋_GB2312" w:hAnsi="Times New Roman" w:eastAsia="仿宋_GB2312"/>
                <w:b/>
                <w:sz w:val="18"/>
                <w:szCs w:val="18"/>
              </w:rPr>
            </w:pPr>
          </w:p>
        </w:tc>
        <w:tc>
          <w:tcPr>
            <w:tcW w:w="274" w:type="pct"/>
            <w:tcBorders>
              <w:top w:val="single" w:color="auto" w:sz="8" w:space="0"/>
            </w:tcBorders>
          </w:tcPr>
          <w:p w14:paraId="498D5284">
            <w:pPr>
              <w:adjustRightInd/>
              <w:snapToGrid w:val="0"/>
              <w:spacing w:line="240" w:lineRule="auto"/>
              <w:rPr>
                <w:rFonts w:ascii="仿宋_GB2312" w:hAnsi="Times New Roman" w:eastAsia="仿宋_GB2312"/>
                <w:b/>
                <w:sz w:val="18"/>
                <w:szCs w:val="18"/>
              </w:rPr>
            </w:pPr>
          </w:p>
        </w:tc>
        <w:tc>
          <w:tcPr>
            <w:tcW w:w="274" w:type="pct"/>
            <w:tcBorders>
              <w:top w:val="single" w:color="auto" w:sz="8" w:space="0"/>
            </w:tcBorders>
          </w:tcPr>
          <w:p w14:paraId="45ABE52F">
            <w:pPr>
              <w:adjustRightInd/>
              <w:snapToGrid w:val="0"/>
              <w:spacing w:line="240" w:lineRule="auto"/>
              <w:rPr>
                <w:rFonts w:ascii="仿宋_GB2312" w:hAnsi="Times New Roman" w:eastAsia="仿宋_GB2312"/>
                <w:b/>
                <w:sz w:val="18"/>
                <w:szCs w:val="18"/>
              </w:rPr>
            </w:pPr>
          </w:p>
        </w:tc>
        <w:tc>
          <w:tcPr>
            <w:tcW w:w="274" w:type="pct"/>
            <w:tcBorders>
              <w:top w:val="single" w:color="auto" w:sz="8" w:space="0"/>
            </w:tcBorders>
          </w:tcPr>
          <w:p w14:paraId="111F9B29">
            <w:pPr>
              <w:adjustRightInd/>
              <w:snapToGrid w:val="0"/>
              <w:spacing w:line="240" w:lineRule="auto"/>
              <w:rPr>
                <w:rFonts w:ascii="仿宋_GB2312" w:hAnsi="Times New Roman" w:eastAsia="仿宋_GB2312"/>
                <w:b/>
                <w:sz w:val="18"/>
                <w:szCs w:val="18"/>
              </w:rPr>
            </w:pPr>
          </w:p>
        </w:tc>
        <w:tc>
          <w:tcPr>
            <w:tcW w:w="385" w:type="pct"/>
            <w:tcBorders>
              <w:top w:val="single" w:color="auto" w:sz="8" w:space="0"/>
            </w:tcBorders>
          </w:tcPr>
          <w:p w14:paraId="27075578">
            <w:pPr>
              <w:adjustRightInd/>
              <w:snapToGrid w:val="0"/>
              <w:spacing w:line="240" w:lineRule="auto"/>
              <w:rPr>
                <w:rFonts w:ascii="仿宋_GB2312" w:hAnsi="Times New Roman" w:eastAsia="仿宋_GB2312"/>
                <w:b/>
                <w:sz w:val="18"/>
                <w:szCs w:val="18"/>
              </w:rPr>
            </w:pPr>
          </w:p>
        </w:tc>
        <w:tc>
          <w:tcPr>
            <w:tcW w:w="385" w:type="pct"/>
            <w:tcBorders>
              <w:top w:val="single" w:color="auto" w:sz="8" w:space="0"/>
            </w:tcBorders>
          </w:tcPr>
          <w:p w14:paraId="1AD2E120">
            <w:pPr>
              <w:adjustRightInd/>
              <w:snapToGrid w:val="0"/>
              <w:spacing w:line="240" w:lineRule="auto"/>
              <w:rPr>
                <w:rFonts w:ascii="仿宋_GB2312" w:hAnsi="Times New Roman" w:eastAsia="仿宋_GB2312"/>
                <w:b/>
                <w:sz w:val="18"/>
                <w:szCs w:val="18"/>
              </w:rPr>
            </w:pPr>
          </w:p>
        </w:tc>
        <w:tc>
          <w:tcPr>
            <w:tcW w:w="385" w:type="pct"/>
            <w:tcBorders>
              <w:top w:val="single" w:color="auto" w:sz="8" w:space="0"/>
            </w:tcBorders>
          </w:tcPr>
          <w:p w14:paraId="3FB2514A">
            <w:pPr>
              <w:adjustRightInd/>
              <w:snapToGrid w:val="0"/>
              <w:spacing w:line="240" w:lineRule="auto"/>
              <w:rPr>
                <w:rFonts w:ascii="仿宋_GB2312" w:hAnsi="Times New Roman" w:eastAsia="仿宋_GB2312"/>
                <w:b/>
                <w:sz w:val="18"/>
                <w:szCs w:val="18"/>
              </w:rPr>
            </w:pPr>
          </w:p>
        </w:tc>
        <w:tc>
          <w:tcPr>
            <w:tcW w:w="333" w:type="pct"/>
            <w:tcBorders>
              <w:top w:val="single" w:color="auto" w:sz="8" w:space="0"/>
            </w:tcBorders>
          </w:tcPr>
          <w:p w14:paraId="787801AE">
            <w:pPr>
              <w:adjustRightInd/>
              <w:snapToGrid w:val="0"/>
              <w:spacing w:line="240" w:lineRule="auto"/>
              <w:rPr>
                <w:rFonts w:ascii="仿宋_GB2312" w:hAnsi="Times New Roman" w:eastAsia="仿宋_GB2312"/>
                <w:b/>
                <w:sz w:val="18"/>
                <w:szCs w:val="18"/>
              </w:rPr>
            </w:pPr>
          </w:p>
        </w:tc>
        <w:tc>
          <w:tcPr>
            <w:tcW w:w="333" w:type="pct"/>
            <w:tcBorders>
              <w:top w:val="single" w:color="auto" w:sz="8" w:space="0"/>
            </w:tcBorders>
          </w:tcPr>
          <w:p w14:paraId="787119DE">
            <w:pPr>
              <w:adjustRightInd/>
              <w:snapToGrid w:val="0"/>
              <w:spacing w:line="240" w:lineRule="auto"/>
              <w:rPr>
                <w:rFonts w:ascii="仿宋_GB2312" w:hAnsi="Times New Roman" w:eastAsia="仿宋_GB2312"/>
                <w:b/>
                <w:sz w:val="18"/>
                <w:szCs w:val="18"/>
              </w:rPr>
            </w:pPr>
          </w:p>
        </w:tc>
        <w:tc>
          <w:tcPr>
            <w:tcW w:w="385" w:type="pct"/>
            <w:tcBorders>
              <w:top w:val="single" w:color="auto" w:sz="8" w:space="0"/>
            </w:tcBorders>
          </w:tcPr>
          <w:p w14:paraId="705B8928">
            <w:pPr>
              <w:adjustRightInd/>
              <w:snapToGrid w:val="0"/>
              <w:spacing w:line="240" w:lineRule="auto"/>
              <w:rPr>
                <w:rFonts w:ascii="仿宋_GB2312" w:hAnsi="Times New Roman" w:eastAsia="仿宋_GB2312"/>
                <w:b/>
                <w:sz w:val="18"/>
                <w:szCs w:val="18"/>
              </w:rPr>
            </w:pPr>
          </w:p>
        </w:tc>
        <w:tc>
          <w:tcPr>
            <w:tcW w:w="333" w:type="pct"/>
            <w:tcBorders>
              <w:top w:val="single" w:color="auto" w:sz="8" w:space="0"/>
            </w:tcBorders>
          </w:tcPr>
          <w:p w14:paraId="4E130AA6">
            <w:pPr>
              <w:adjustRightInd/>
              <w:snapToGrid w:val="0"/>
              <w:spacing w:line="240" w:lineRule="auto"/>
              <w:rPr>
                <w:rFonts w:ascii="仿宋_GB2312" w:hAnsi="Times New Roman" w:eastAsia="仿宋_GB2312"/>
                <w:b/>
                <w:sz w:val="18"/>
                <w:szCs w:val="18"/>
              </w:rPr>
            </w:pPr>
          </w:p>
        </w:tc>
        <w:tc>
          <w:tcPr>
            <w:tcW w:w="333" w:type="pct"/>
            <w:tcBorders>
              <w:top w:val="single" w:color="auto" w:sz="8" w:space="0"/>
            </w:tcBorders>
          </w:tcPr>
          <w:p w14:paraId="760F4F5B">
            <w:pPr>
              <w:adjustRightInd/>
              <w:snapToGrid w:val="0"/>
              <w:spacing w:line="240" w:lineRule="auto"/>
              <w:rPr>
                <w:rFonts w:ascii="仿宋_GB2312" w:hAnsi="Times New Roman" w:eastAsia="仿宋_GB2312"/>
                <w:b/>
                <w:sz w:val="18"/>
                <w:szCs w:val="18"/>
              </w:rPr>
            </w:pPr>
          </w:p>
        </w:tc>
      </w:tr>
      <w:tr w14:paraId="563A7A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07" w:type="pct"/>
          </w:tcPr>
          <w:p w14:paraId="68B965B4">
            <w:pPr>
              <w:adjustRightInd/>
              <w:snapToGrid w:val="0"/>
              <w:spacing w:line="240" w:lineRule="auto"/>
              <w:rPr>
                <w:rFonts w:ascii="仿宋_GB2312" w:hAnsi="Times New Roman" w:eastAsia="仿宋_GB2312"/>
                <w:b/>
                <w:sz w:val="18"/>
                <w:szCs w:val="18"/>
              </w:rPr>
            </w:pPr>
          </w:p>
        </w:tc>
        <w:tc>
          <w:tcPr>
            <w:tcW w:w="274" w:type="pct"/>
          </w:tcPr>
          <w:p w14:paraId="3AD07ED3">
            <w:pPr>
              <w:adjustRightInd/>
              <w:snapToGrid w:val="0"/>
              <w:spacing w:line="240" w:lineRule="auto"/>
              <w:rPr>
                <w:rFonts w:ascii="仿宋_GB2312" w:hAnsi="Times New Roman" w:eastAsia="仿宋_GB2312"/>
                <w:b/>
                <w:sz w:val="18"/>
                <w:szCs w:val="18"/>
              </w:rPr>
            </w:pPr>
          </w:p>
        </w:tc>
        <w:tc>
          <w:tcPr>
            <w:tcW w:w="274" w:type="pct"/>
          </w:tcPr>
          <w:p w14:paraId="6FC76D79">
            <w:pPr>
              <w:adjustRightInd/>
              <w:snapToGrid w:val="0"/>
              <w:spacing w:line="240" w:lineRule="auto"/>
              <w:rPr>
                <w:rFonts w:ascii="仿宋_GB2312" w:hAnsi="Times New Roman" w:eastAsia="仿宋_GB2312"/>
                <w:b/>
                <w:sz w:val="18"/>
                <w:szCs w:val="18"/>
              </w:rPr>
            </w:pPr>
          </w:p>
        </w:tc>
        <w:tc>
          <w:tcPr>
            <w:tcW w:w="274" w:type="pct"/>
          </w:tcPr>
          <w:p w14:paraId="23EDB6AF">
            <w:pPr>
              <w:adjustRightInd/>
              <w:snapToGrid w:val="0"/>
              <w:spacing w:line="240" w:lineRule="auto"/>
              <w:rPr>
                <w:rFonts w:ascii="仿宋_GB2312" w:hAnsi="Times New Roman" w:eastAsia="仿宋_GB2312"/>
                <w:b/>
                <w:sz w:val="18"/>
                <w:szCs w:val="18"/>
              </w:rPr>
            </w:pPr>
          </w:p>
        </w:tc>
        <w:tc>
          <w:tcPr>
            <w:tcW w:w="274" w:type="pct"/>
          </w:tcPr>
          <w:p w14:paraId="7E147D75">
            <w:pPr>
              <w:adjustRightInd/>
              <w:snapToGrid w:val="0"/>
              <w:spacing w:line="240" w:lineRule="auto"/>
              <w:rPr>
                <w:rFonts w:ascii="仿宋_GB2312" w:hAnsi="Times New Roman" w:eastAsia="仿宋_GB2312"/>
                <w:b/>
                <w:sz w:val="18"/>
                <w:szCs w:val="18"/>
              </w:rPr>
            </w:pPr>
          </w:p>
        </w:tc>
        <w:tc>
          <w:tcPr>
            <w:tcW w:w="274" w:type="pct"/>
          </w:tcPr>
          <w:p w14:paraId="66543F6C">
            <w:pPr>
              <w:adjustRightInd/>
              <w:snapToGrid w:val="0"/>
              <w:spacing w:line="240" w:lineRule="auto"/>
              <w:rPr>
                <w:rFonts w:ascii="仿宋_GB2312" w:hAnsi="Times New Roman" w:eastAsia="仿宋_GB2312"/>
                <w:b/>
                <w:sz w:val="18"/>
                <w:szCs w:val="18"/>
              </w:rPr>
            </w:pPr>
          </w:p>
        </w:tc>
        <w:tc>
          <w:tcPr>
            <w:tcW w:w="274" w:type="pct"/>
          </w:tcPr>
          <w:p w14:paraId="0D46E0DE">
            <w:pPr>
              <w:adjustRightInd/>
              <w:snapToGrid w:val="0"/>
              <w:spacing w:line="240" w:lineRule="auto"/>
              <w:rPr>
                <w:rFonts w:ascii="仿宋_GB2312" w:hAnsi="Times New Roman" w:eastAsia="仿宋_GB2312"/>
                <w:b/>
                <w:sz w:val="18"/>
                <w:szCs w:val="18"/>
              </w:rPr>
            </w:pPr>
          </w:p>
        </w:tc>
        <w:tc>
          <w:tcPr>
            <w:tcW w:w="274" w:type="pct"/>
          </w:tcPr>
          <w:p w14:paraId="22BB1566">
            <w:pPr>
              <w:adjustRightInd/>
              <w:snapToGrid w:val="0"/>
              <w:spacing w:line="240" w:lineRule="auto"/>
              <w:rPr>
                <w:rFonts w:ascii="仿宋_GB2312" w:hAnsi="Times New Roman" w:eastAsia="仿宋_GB2312"/>
                <w:b/>
                <w:sz w:val="18"/>
                <w:szCs w:val="18"/>
              </w:rPr>
            </w:pPr>
          </w:p>
        </w:tc>
        <w:tc>
          <w:tcPr>
            <w:tcW w:w="385" w:type="pct"/>
          </w:tcPr>
          <w:p w14:paraId="0F2B41FF">
            <w:pPr>
              <w:adjustRightInd/>
              <w:snapToGrid w:val="0"/>
              <w:spacing w:line="240" w:lineRule="auto"/>
              <w:rPr>
                <w:rFonts w:ascii="仿宋_GB2312" w:hAnsi="Times New Roman" w:eastAsia="仿宋_GB2312"/>
                <w:b/>
                <w:sz w:val="18"/>
                <w:szCs w:val="18"/>
              </w:rPr>
            </w:pPr>
          </w:p>
        </w:tc>
        <w:tc>
          <w:tcPr>
            <w:tcW w:w="385" w:type="pct"/>
          </w:tcPr>
          <w:p w14:paraId="129E360A">
            <w:pPr>
              <w:adjustRightInd/>
              <w:snapToGrid w:val="0"/>
              <w:spacing w:line="240" w:lineRule="auto"/>
              <w:rPr>
                <w:rFonts w:ascii="仿宋_GB2312" w:hAnsi="Times New Roman" w:eastAsia="仿宋_GB2312"/>
                <w:b/>
                <w:sz w:val="18"/>
                <w:szCs w:val="18"/>
              </w:rPr>
            </w:pPr>
          </w:p>
        </w:tc>
        <w:tc>
          <w:tcPr>
            <w:tcW w:w="385" w:type="pct"/>
          </w:tcPr>
          <w:p w14:paraId="1662AFB5">
            <w:pPr>
              <w:adjustRightInd/>
              <w:snapToGrid w:val="0"/>
              <w:spacing w:line="240" w:lineRule="auto"/>
              <w:rPr>
                <w:rFonts w:ascii="仿宋_GB2312" w:hAnsi="Times New Roman" w:eastAsia="仿宋_GB2312"/>
                <w:b/>
                <w:sz w:val="18"/>
                <w:szCs w:val="18"/>
              </w:rPr>
            </w:pPr>
          </w:p>
        </w:tc>
        <w:tc>
          <w:tcPr>
            <w:tcW w:w="333" w:type="pct"/>
          </w:tcPr>
          <w:p w14:paraId="44C6A250">
            <w:pPr>
              <w:adjustRightInd/>
              <w:snapToGrid w:val="0"/>
              <w:spacing w:line="240" w:lineRule="auto"/>
              <w:rPr>
                <w:rFonts w:ascii="仿宋_GB2312" w:hAnsi="Times New Roman" w:eastAsia="仿宋_GB2312"/>
                <w:b/>
                <w:sz w:val="18"/>
                <w:szCs w:val="18"/>
              </w:rPr>
            </w:pPr>
          </w:p>
        </w:tc>
        <w:tc>
          <w:tcPr>
            <w:tcW w:w="333" w:type="pct"/>
          </w:tcPr>
          <w:p w14:paraId="526BC1F1">
            <w:pPr>
              <w:adjustRightInd/>
              <w:snapToGrid w:val="0"/>
              <w:spacing w:line="240" w:lineRule="auto"/>
              <w:rPr>
                <w:rFonts w:ascii="仿宋_GB2312" w:hAnsi="Times New Roman" w:eastAsia="仿宋_GB2312"/>
                <w:b/>
                <w:sz w:val="18"/>
                <w:szCs w:val="18"/>
              </w:rPr>
            </w:pPr>
          </w:p>
        </w:tc>
        <w:tc>
          <w:tcPr>
            <w:tcW w:w="385" w:type="pct"/>
          </w:tcPr>
          <w:p w14:paraId="2747BCE2">
            <w:pPr>
              <w:adjustRightInd/>
              <w:snapToGrid w:val="0"/>
              <w:spacing w:line="240" w:lineRule="auto"/>
              <w:rPr>
                <w:rFonts w:ascii="仿宋_GB2312" w:hAnsi="Times New Roman" w:eastAsia="仿宋_GB2312"/>
                <w:b/>
                <w:sz w:val="18"/>
                <w:szCs w:val="18"/>
              </w:rPr>
            </w:pPr>
          </w:p>
        </w:tc>
        <w:tc>
          <w:tcPr>
            <w:tcW w:w="333" w:type="pct"/>
          </w:tcPr>
          <w:p w14:paraId="6FCD4A0E">
            <w:pPr>
              <w:adjustRightInd/>
              <w:snapToGrid w:val="0"/>
              <w:spacing w:line="240" w:lineRule="auto"/>
              <w:rPr>
                <w:rFonts w:ascii="仿宋_GB2312" w:hAnsi="Times New Roman" w:eastAsia="仿宋_GB2312"/>
                <w:b/>
                <w:sz w:val="18"/>
                <w:szCs w:val="18"/>
              </w:rPr>
            </w:pPr>
          </w:p>
        </w:tc>
        <w:tc>
          <w:tcPr>
            <w:tcW w:w="333" w:type="pct"/>
          </w:tcPr>
          <w:p w14:paraId="5F2C82EA">
            <w:pPr>
              <w:adjustRightInd/>
              <w:snapToGrid w:val="0"/>
              <w:spacing w:line="240" w:lineRule="auto"/>
              <w:rPr>
                <w:rFonts w:ascii="仿宋_GB2312" w:hAnsi="Times New Roman" w:eastAsia="仿宋_GB2312"/>
                <w:b/>
                <w:sz w:val="18"/>
                <w:szCs w:val="18"/>
              </w:rPr>
            </w:pPr>
          </w:p>
        </w:tc>
      </w:tr>
      <w:tr w14:paraId="6E6A3C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07" w:type="pct"/>
          </w:tcPr>
          <w:p w14:paraId="2665EA96">
            <w:pPr>
              <w:adjustRightInd/>
              <w:snapToGrid w:val="0"/>
              <w:spacing w:line="240" w:lineRule="auto"/>
              <w:rPr>
                <w:rFonts w:ascii="仿宋_GB2312" w:hAnsi="Times New Roman" w:eastAsia="仿宋_GB2312"/>
                <w:b/>
                <w:sz w:val="18"/>
                <w:szCs w:val="18"/>
              </w:rPr>
            </w:pPr>
          </w:p>
        </w:tc>
        <w:tc>
          <w:tcPr>
            <w:tcW w:w="274" w:type="pct"/>
          </w:tcPr>
          <w:p w14:paraId="7CACCAF7">
            <w:pPr>
              <w:adjustRightInd/>
              <w:snapToGrid w:val="0"/>
              <w:spacing w:line="240" w:lineRule="auto"/>
              <w:rPr>
                <w:rFonts w:ascii="仿宋_GB2312" w:hAnsi="Times New Roman" w:eastAsia="仿宋_GB2312"/>
                <w:b/>
                <w:sz w:val="18"/>
                <w:szCs w:val="18"/>
              </w:rPr>
            </w:pPr>
          </w:p>
        </w:tc>
        <w:tc>
          <w:tcPr>
            <w:tcW w:w="274" w:type="pct"/>
          </w:tcPr>
          <w:p w14:paraId="74315F34">
            <w:pPr>
              <w:adjustRightInd/>
              <w:snapToGrid w:val="0"/>
              <w:spacing w:line="240" w:lineRule="auto"/>
              <w:rPr>
                <w:rFonts w:ascii="仿宋_GB2312" w:hAnsi="Times New Roman" w:eastAsia="仿宋_GB2312"/>
                <w:b/>
                <w:sz w:val="18"/>
                <w:szCs w:val="18"/>
              </w:rPr>
            </w:pPr>
          </w:p>
        </w:tc>
        <w:tc>
          <w:tcPr>
            <w:tcW w:w="274" w:type="pct"/>
          </w:tcPr>
          <w:p w14:paraId="52E15793">
            <w:pPr>
              <w:adjustRightInd/>
              <w:snapToGrid w:val="0"/>
              <w:spacing w:line="240" w:lineRule="auto"/>
              <w:rPr>
                <w:rFonts w:ascii="仿宋_GB2312" w:hAnsi="Times New Roman" w:eastAsia="仿宋_GB2312"/>
                <w:b/>
                <w:sz w:val="18"/>
                <w:szCs w:val="18"/>
              </w:rPr>
            </w:pPr>
          </w:p>
        </w:tc>
        <w:tc>
          <w:tcPr>
            <w:tcW w:w="274" w:type="pct"/>
          </w:tcPr>
          <w:p w14:paraId="5C04916C">
            <w:pPr>
              <w:adjustRightInd/>
              <w:snapToGrid w:val="0"/>
              <w:spacing w:line="240" w:lineRule="auto"/>
              <w:rPr>
                <w:rFonts w:ascii="仿宋_GB2312" w:hAnsi="Times New Roman" w:eastAsia="仿宋_GB2312"/>
                <w:b/>
                <w:sz w:val="18"/>
                <w:szCs w:val="18"/>
              </w:rPr>
            </w:pPr>
          </w:p>
        </w:tc>
        <w:tc>
          <w:tcPr>
            <w:tcW w:w="274" w:type="pct"/>
          </w:tcPr>
          <w:p w14:paraId="590372DF">
            <w:pPr>
              <w:adjustRightInd/>
              <w:snapToGrid w:val="0"/>
              <w:spacing w:line="240" w:lineRule="auto"/>
              <w:rPr>
                <w:rFonts w:ascii="仿宋_GB2312" w:hAnsi="Times New Roman" w:eastAsia="仿宋_GB2312"/>
                <w:b/>
                <w:sz w:val="18"/>
                <w:szCs w:val="18"/>
              </w:rPr>
            </w:pPr>
          </w:p>
        </w:tc>
        <w:tc>
          <w:tcPr>
            <w:tcW w:w="274" w:type="pct"/>
          </w:tcPr>
          <w:p w14:paraId="1628F35C">
            <w:pPr>
              <w:adjustRightInd/>
              <w:snapToGrid w:val="0"/>
              <w:spacing w:line="240" w:lineRule="auto"/>
              <w:rPr>
                <w:rFonts w:ascii="仿宋_GB2312" w:hAnsi="Times New Roman" w:eastAsia="仿宋_GB2312"/>
                <w:b/>
                <w:sz w:val="18"/>
                <w:szCs w:val="18"/>
              </w:rPr>
            </w:pPr>
          </w:p>
        </w:tc>
        <w:tc>
          <w:tcPr>
            <w:tcW w:w="274" w:type="pct"/>
          </w:tcPr>
          <w:p w14:paraId="7D796DF1">
            <w:pPr>
              <w:adjustRightInd/>
              <w:snapToGrid w:val="0"/>
              <w:spacing w:line="240" w:lineRule="auto"/>
              <w:rPr>
                <w:rFonts w:ascii="仿宋_GB2312" w:hAnsi="Times New Roman" w:eastAsia="仿宋_GB2312"/>
                <w:b/>
                <w:sz w:val="18"/>
                <w:szCs w:val="18"/>
              </w:rPr>
            </w:pPr>
          </w:p>
        </w:tc>
        <w:tc>
          <w:tcPr>
            <w:tcW w:w="385" w:type="pct"/>
          </w:tcPr>
          <w:p w14:paraId="28E9B56C">
            <w:pPr>
              <w:adjustRightInd/>
              <w:snapToGrid w:val="0"/>
              <w:spacing w:line="240" w:lineRule="auto"/>
              <w:rPr>
                <w:rFonts w:ascii="仿宋_GB2312" w:hAnsi="Times New Roman" w:eastAsia="仿宋_GB2312"/>
                <w:b/>
                <w:sz w:val="18"/>
                <w:szCs w:val="18"/>
              </w:rPr>
            </w:pPr>
          </w:p>
        </w:tc>
        <w:tc>
          <w:tcPr>
            <w:tcW w:w="385" w:type="pct"/>
          </w:tcPr>
          <w:p w14:paraId="3C9F0DC8">
            <w:pPr>
              <w:adjustRightInd/>
              <w:snapToGrid w:val="0"/>
              <w:spacing w:line="240" w:lineRule="auto"/>
              <w:rPr>
                <w:rFonts w:ascii="仿宋_GB2312" w:hAnsi="Times New Roman" w:eastAsia="仿宋_GB2312"/>
                <w:b/>
                <w:sz w:val="18"/>
                <w:szCs w:val="18"/>
              </w:rPr>
            </w:pPr>
          </w:p>
        </w:tc>
        <w:tc>
          <w:tcPr>
            <w:tcW w:w="385" w:type="pct"/>
          </w:tcPr>
          <w:p w14:paraId="5EAE10DE">
            <w:pPr>
              <w:adjustRightInd/>
              <w:snapToGrid w:val="0"/>
              <w:spacing w:line="240" w:lineRule="auto"/>
              <w:rPr>
                <w:rFonts w:ascii="仿宋_GB2312" w:hAnsi="Times New Roman" w:eastAsia="仿宋_GB2312"/>
                <w:b/>
                <w:sz w:val="18"/>
                <w:szCs w:val="18"/>
              </w:rPr>
            </w:pPr>
          </w:p>
        </w:tc>
        <w:tc>
          <w:tcPr>
            <w:tcW w:w="333" w:type="pct"/>
          </w:tcPr>
          <w:p w14:paraId="7A447828">
            <w:pPr>
              <w:adjustRightInd/>
              <w:snapToGrid w:val="0"/>
              <w:spacing w:line="240" w:lineRule="auto"/>
              <w:rPr>
                <w:rFonts w:ascii="仿宋_GB2312" w:hAnsi="Times New Roman" w:eastAsia="仿宋_GB2312"/>
                <w:b/>
                <w:sz w:val="18"/>
                <w:szCs w:val="18"/>
              </w:rPr>
            </w:pPr>
          </w:p>
        </w:tc>
        <w:tc>
          <w:tcPr>
            <w:tcW w:w="333" w:type="pct"/>
          </w:tcPr>
          <w:p w14:paraId="479DF957">
            <w:pPr>
              <w:adjustRightInd/>
              <w:snapToGrid w:val="0"/>
              <w:spacing w:line="240" w:lineRule="auto"/>
              <w:rPr>
                <w:rFonts w:ascii="仿宋_GB2312" w:hAnsi="Times New Roman" w:eastAsia="仿宋_GB2312"/>
                <w:b/>
                <w:sz w:val="18"/>
                <w:szCs w:val="18"/>
              </w:rPr>
            </w:pPr>
          </w:p>
        </w:tc>
        <w:tc>
          <w:tcPr>
            <w:tcW w:w="385" w:type="pct"/>
          </w:tcPr>
          <w:p w14:paraId="34974B07">
            <w:pPr>
              <w:adjustRightInd/>
              <w:snapToGrid w:val="0"/>
              <w:spacing w:line="240" w:lineRule="auto"/>
              <w:rPr>
                <w:rFonts w:ascii="仿宋_GB2312" w:hAnsi="Times New Roman" w:eastAsia="仿宋_GB2312"/>
                <w:b/>
                <w:sz w:val="18"/>
                <w:szCs w:val="18"/>
              </w:rPr>
            </w:pPr>
          </w:p>
        </w:tc>
        <w:tc>
          <w:tcPr>
            <w:tcW w:w="333" w:type="pct"/>
          </w:tcPr>
          <w:p w14:paraId="16663EBD">
            <w:pPr>
              <w:adjustRightInd/>
              <w:snapToGrid w:val="0"/>
              <w:spacing w:line="240" w:lineRule="auto"/>
              <w:rPr>
                <w:rFonts w:ascii="仿宋_GB2312" w:hAnsi="Times New Roman" w:eastAsia="仿宋_GB2312"/>
                <w:b/>
                <w:sz w:val="18"/>
                <w:szCs w:val="18"/>
              </w:rPr>
            </w:pPr>
          </w:p>
        </w:tc>
        <w:tc>
          <w:tcPr>
            <w:tcW w:w="333" w:type="pct"/>
          </w:tcPr>
          <w:p w14:paraId="273446C9">
            <w:pPr>
              <w:adjustRightInd/>
              <w:snapToGrid w:val="0"/>
              <w:spacing w:line="240" w:lineRule="auto"/>
              <w:rPr>
                <w:rFonts w:ascii="仿宋_GB2312" w:hAnsi="Times New Roman" w:eastAsia="仿宋_GB2312"/>
                <w:b/>
                <w:sz w:val="18"/>
                <w:szCs w:val="18"/>
              </w:rPr>
            </w:pPr>
          </w:p>
        </w:tc>
      </w:tr>
      <w:bookmarkEnd w:id="105"/>
    </w:tbl>
    <w:p w14:paraId="02C9B3F9">
      <w:pPr>
        <w:pStyle w:val="51"/>
        <w:ind w:firstLine="0" w:firstLineChars="0"/>
        <w:jc w:val="center"/>
        <w:rPr>
          <w:rFonts w:hint="eastAsia" w:eastAsia="宋体"/>
          <w:lang w:eastAsia="zh-CN"/>
        </w:rPr>
      </w:pPr>
      <w:bookmarkStart w:id="130" w:name="BookMark8"/>
      <w:r>
        <w:rPr>
          <w:rFonts w:hint="eastAsia" w:eastAsia="宋体"/>
          <w:lang w:eastAsia="zh-CN"/>
        </w:rPr>
        <w:drawing>
          <wp:inline distT="0" distB="0" distL="114300" distR="114300">
            <wp:extent cx="1485900" cy="317500"/>
            <wp:effectExtent l="0" t="0" r="7620" b="2540"/>
            <wp:docPr id="1" name="图片 1" descr="1"/>
            <wp:cNvGraphicFramePr/>
            <a:graphic xmlns:a="http://schemas.openxmlformats.org/drawingml/2006/main">
              <a:graphicData uri="http://schemas.openxmlformats.org/drawingml/2006/picture">
                <pic:pic xmlns:pic="http://schemas.openxmlformats.org/drawingml/2006/picture">
                  <pic:nvPicPr>
                    <pic:cNvPr id="1" name="图片 1" descr="1"/>
                    <pic:cNvPicPr/>
                  </pic:nvPicPr>
                  <pic:blipFill>
                    <a:blip r:embed="rId59"/>
                    <a:stretch>
                      <a:fillRect/>
                    </a:stretch>
                  </pic:blipFill>
                  <pic:spPr>
                    <a:xfrm>
                      <a:off x="0" y="0"/>
                      <a:ext cx="1485900" cy="317500"/>
                    </a:xfrm>
                    <a:prstGeom prst="rect">
                      <a:avLst/>
                    </a:prstGeom>
                  </pic:spPr>
                </pic:pic>
              </a:graphicData>
            </a:graphic>
          </wp:inline>
        </w:drawing>
      </w:r>
      <w:bookmarkEnd w:id="130"/>
    </w:p>
    <w:sectPr>
      <w:pgSz w:w="11906" w:h="16838"/>
      <w:pgMar w:top="1928" w:right="1134" w:bottom="1134" w:left="1134" w:header="1418" w:footer="1134" w:gutter="283"/>
      <w:cols w:space="720" w:num="1"/>
      <w:formProt w:val="0"/>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369FC">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F9DB9">
    <w:pPr>
      <w:pStyle w:val="86"/>
    </w:pPr>
    <w:r>
      <w:fldChar w:fldCharType="begin"/>
    </w:r>
    <w:r>
      <w:instrText xml:space="preserve">PAGE   \* MERGEFORMAT</w:instrText>
    </w:r>
    <w:r>
      <w:fldChar w:fldCharType="separate"/>
    </w:r>
    <w:r>
      <w:rPr>
        <w:lang w:val="zh-CN"/>
      </w:rPr>
      <w:t>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66DD3">
    <w:pPr>
      <w:pStyle w:val="125"/>
    </w:pPr>
    <w:r>
      <w:fldChar w:fldCharType="begin"/>
    </w:r>
    <w:r>
      <w:instrText xml:space="preserve">PAGE   \* MERGEFORMAT</w:instrText>
    </w:r>
    <w:r>
      <w:fldChar w:fldCharType="separate"/>
    </w:r>
    <w:r>
      <w:rPr>
        <w:lang w:val="zh-CN"/>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2C861">
    <w:pPr>
      <w:pStyle w:val="86"/>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FE66D">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E37BC">
    <w:pPr>
      <w:pStyle w:val="125"/>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404E4">
    <w:pPr>
      <w:pStyle w:val="86"/>
    </w:pPr>
    <w:r>
      <w:fldChar w:fldCharType="begin"/>
    </w:r>
    <w:r>
      <w:instrText xml:space="preserve">PAGE   \* MERGEFORMAT</w:instrText>
    </w:r>
    <w:r>
      <w:fldChar w:fldCharType="separate"/>
    </w:r>
    <w:r>
      <w:rPr>
        <w:lang w:val="zh-CN"/>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45F6D">
    <w:pPr>
      <w:pStyle w:val="125"/>
    </w:pPr>
    <w:r>
      <w:fldChar w:fldCharType="begin"/>
    </w:r>
    <w:r>
      <w:instrText xml:space="preserve">PAGE   \* MERGEFORMAT</w:instrText>
    </w:r>
    <w:r>
      <w:fldChar w:fldCharType="separate"/>
    </w:r>
    <w:r>
      <w:rPr>
        <w:lang w:val="zh-CN"/>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B8E49">
    <w:pPr>
      <w:pStyle w:val="86"/>
    </w:pPr>
    <w:r>
      <w:fldChar w:fldCharType="begin"/>
    </w:r>
    <w:r>
      <w:instrText xml:space="preserve">PAGE   \* MERGEFORMAT</w:instrText>
    </w:r>
    <w:r>
      <w:fldChar w:fldCharType="separate"/>
    </w:r>
    <w:r>
      <w:rPr>
        <w:lang w:val="zh-CN"/>
      </w:rP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4E15A">
    <w:pPr>
      <w:pStyle w:val="125"/>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A9256">
    <w:pPr>
      <w:pStyle w:val="86"/>
    </w:pPr>
    <w:r>
      <w:fldChar w:fldCharType="begin"/>
    </w:r>
    <w:r>
      <w:instrText xml:space="preserve">PAGE   \* MERGEFORMAT</w:instrText>
    </w:r>
    <w:r>
      <w:fldChar w:fldCharType="separate"/>
    </w:r>
    <w:r>
      <w:rPr>
        <w:lang w:val="zh-CN"/>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38C5B">
    <w:pPr>
      <w:pStyle w:val="125"/>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4D003">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92FAA">
    <w:pPr>
      <w:pStyle w:val="164"/>
      <w:bidi w:val="0"/>
      <w:rPr>
        <w:rFonts w:hint="eastAsia"/>
        <w:lang w:eastAsia="zh-CN"/>
      </w:rPr>
    </w:pPr>
    <w:r>
      <w:rPr>
        <w:rFonts w:hint="eastAsia"/>
        <w:lang w:eastAsia="zh-CN"/>
      </w:rPr>
      <w:t>DB2101/T XXXX—2024</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C1603">
    <w:pPr>
      <w:pStyle w:val="165"/>
      <w:bidi w:val="0"/>
      <w:rPr>
        <w:rFonts w:hint="eastAsia"/>
        <w:lang w:eastAsia="zh-CN"/>
      </w:rPr>
    </w:pPr>
    <w:r>
      <w:rPr>
        <w:rFonts w:hint="eastAsia"/>
        <w:lang w:eastAsia="zh-CN"/>
      </w:rPr>
      <w:t>DB2101/T XXXX—2024</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8282D">
    <w:pPr>
      <w:pStyle w:val="164"/>
      <w:bidi w:val="0"/>
      <w:rPr>
        <w:rFonts w:hint="eastAsia"/>
        <w:lang w:eastAsia="zh-CN"/>
      </w:rPr>
    </w:pPr>
    <w:r>
      <w:rPr>
        <w:rFonts w:hint="eastAsia"/>
        <w:lang w:eastAsia="zh-CN"/>
      </w:rPr>
      <w:t>DB2101/T XXXX—2024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3370A">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E082E">
    <w:pPr>
      <w:pStyle w:val="165"/>
      <w:bidi w:val="0"/>
      <w:rPr>
        <w:rFonts w:hint="eastAsia"/>
        <w:lang w:eastAsia="zh-CN"/>
      </w:rPr>
    </w:pPr>
    <w:r>
      <w:rPr>
        <w:rFonts w:hint="eastAsia"/>
        <w:lang w:eastAsia="zh-CN"/>
      </w:rPr>
      <w:t>DB2101/T XXXX—2024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64DDB">
    <w:pPr>
      <w:pStyle w:val="164"/>
      <w:bidi w:val="0"/>
      <w:rPr>
        <w:rFonts w:hint="eastAsia"/>
        <w:lang w:eastAsia="zh-CN"/>
      </w:rPr>
    </w:pPr>
    <w:r>
      <w:rPr>
        <w:rFonts w:hint="eastAsia"/>
        <w:lang w:eastAsia="zh-CN"/>
      </w:rPr>
      <w:t>DB2101/T XXXX—2024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40E8E">
    <w:pPr>
      <w:pStyle w:val="165"/>
      <w:bidi w:val="0"/>
      <w:rPr>
        <w:rFonts w:hint="eastAsia"/>
        <w:lang w:eastAsia="zh-CN"/>
      </w:rPr>
    </w:pPr>
    <w:r>
      <w:rPr>
        <w:rFonts w:hint="eastAsia"/>
        <w:lang w:eastAsia="zh-CN"/>
      </w:rPr>
      <w:t>DB2101/T XXXX—2024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F3C82">
    <w:pPr>
      <w:pStyle w:val="164"/>
      <w:bidi w:val="0"/>
      <w:rPr>
        <w:rFonts w:hint="eastAsia"/>
        <w:lang w:eastAsia="zh-CN"/>
      </w:rPr>
    </w:pPr>
    <w:r>
      <w:rPr>
        <w:rFonts w:hint="eastAsia"/>
        <w:lang w:eastAsia="zh-CN"/>
      </w:rPr>
      <w:t>DB 2101/T XXXX—2024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68A5D">
    <w:pPr>
      <w:pStyle w:val="165"/>
      <w:bidi w:val="0"/>
      <w:rPr>
        <w:rFonts w:hint="eastAsia"/>
        <w:lang w:eastAsia="zh-CN"/>
      </w:rPr>
    </w:pPr>
    <w:r>
      <w:rPr>
        <w:rFonts w:hint="eastAsia"/>
        <w:lang w:eastAsia="zh-CN"/>
      </w:rPr>
      <w:t>DB2101/T XXXX—2024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ADF7B">
    <w:pPr>
      <w:pStyle w:val="164"/>
      <w:bidi w:val="0"/>
      <w:rPr>
        <w:rFonts w:hint="eastAsia"/>
        <w:lang w:eastAsia="zh-CN"/>
      </w:rPr>
    </w:pPr>
    <w:r>
      <w:rPr>
        <w:rFonts w:hint="eastAsia"/>
        <w:lang w:eastAsia="zh-CN"/>
      </w:rPr>
      <w:t>DB2101/T XXXX—2024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5EADA">
    <w:pPr>
      <w:pStyle w:val="165"/>
      <w:bidi w:val="0"/>
      <w:rPr>
        <w:rFonts w:hint="eastAsia"/>
        <w:lang w:eastAsia="zh-CN"/>
      </w:rPr>
    </w:pPr>
    <w:r>
      <w:rPr>
        <w:rFonts w:hint="eastAsia"/>
        <w:lang w:eastAsia="zh-CN"/>
      </w:rPr>
      <w:t>DB2101/T XXXX—2024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0E572"/>
    <w:multiLevelType w:val="multilevel"/>
    <w:tmpl w:val="CA90E572"/>
    <w:lvl w:ilvl="0" w:tentative="0">
      <w:start w:val="1"/>
      <w:numFmt w:val="lowerLetter"/>
      <w:pStyle w:val="63"/>
      <w:lvlText w:val="%1)"/>
      <w:lvlJc w:val="left"/>
      <w:pPr>
        <w:tabs>
          <w:tab w:val="left" w:pos="851"/>
        </w:tabs>
        <w:ind w:left="851" w:hanging="426"/>
      </w:pPr>
      <w:rPr>
        <w:rFonts w:hint="eastAsia" w:ascii="宋体" w:hAnsi="Times New Roman" w:eastAsia="宋体"/>
        <w:sz w:val="21"/>
      </w:rPr>
    </w:lvl>
    <w:lvl w:ilvl="1" w:tentative="0">
      <w:start w:val="1"/>
      <w:numFmt w:val="decimal"/>
      <w:pStyle w:val="124"/>
      <w:lvlText w:val="%2)"/>
      <w:lvlJc w:val="left"/>
      <w:pPr>
        <w:tabs>
          <w:tab w:val="left" w:pos="1276"/>
        </w:tabs>
        <w:ind w:left="1276" w:hanging="425"/>
      </w:pPr>
      <w:rPr>
        <w:rFonts w:hint="eastAsia" w:ascii="宋体" w:hAnsi="Times New Roman" w:eastAsia="宋体"/>
        <w:sz w:val="21"/>
      </w:rPr>
    </w:lvl>
    <w:lvl w:ilvl="2" w:tentative="0">
      <w:start w:val="1"/>
      <w:numFmt w:val="decimal"/>
      <w:pStyle w:val="116"/>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2837933"/>
    <w:multiLevelType w:val="multilevel"/>
    <w:tmpl w:val="02837933"/>
    <w:lvl w:ilvl="0" w:tentative="0">
      <w:start w:val="1"/>
      <w:numFmt w:val="decimal"/>
      <w:pStyle w:val="20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5"/>
      <w:suff w:val="nothing"/>
      <w:lvlText w:val="%1%2.%3　"/>
      <w:lvlJc w:val="left"/>
      <w:pPr>
        <w:ind w:left="0" w:firstLine="0"/>
      </w:pPr>
    </w:lvl>
    <w:lvl w:ilvl="3" w:tentative="0">
      <w:start w:val="1"/>
      <w:numFmt w:val="decimal"/>
      <w:pStyle w:val="78"/>
      <w:suff w:val="nothing"/>
      <w:lvlText w:val="%1%2.%3.%4　"/>
      <w:lvlJc w:val="left"/>
      <w:pPr>
        <w:ind w:left="0" w:firstLine="0"/>
      </w:pPr>
    </w:lvl>
    <w:lvl w:ilvl="4" w:tentative="0">
      <w:start w:val="1"/>
      <w:numFmt w:val="decimal"/>
      <w:pStyle w:val="172"/>
      <w:suff w:val="nothing"/>
      <w:lvlText w:val="%1%2.%3.%4.%5　"/>
      <w:lvlJc w:val="left"/>
      <w:pPr>
        <w:ind w:left="0" w:firstLine="0"/>
      </w:pPr>
    </w:lvl>
    <w:lvl w:ilvl="5" w:tentative="0">
      <w:start w:val="1"/>
      <w:numFmt w:val="decimal"/>
      <w:pStyle w:val="221"/>
      <w:suff w:val="nothing"/>
      <w:lvlText w:val="%1%2.%3.%4.%5.%6　"/>
      <w:lvlJc w:val="left"/>
      <w:pPr>
        <w:ind w:left="0" w:firstLine="0"/>
      </w:pPr>
    </w:lvl>
    <w:lvl w:ilvl="6" w:tentative="0">
      <w:start w:val="1"/>
      <w:numFmt w:val="decimal"/>
      <w:pStyle w:val="22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ED3FEA"/>
    <w:multiLevelType w:val="multilevel"/>
    <w:tmpl w:val="07ED3FEA"/>
    <w:lvl w:ilvl="0" w:tentative="0">
      <w:start w:val="1"/>
      <w:numFmt w:val="none"/>
      <w:pStyle w:val="146"/>
      <w:lvlText w:val="%1"/>
      <w:lvlJc w:val="left"/>
      <w:pPr>
        <w:ind w:left="425" w:hanging="425"/>
      </w:pPr>
      <w:rPr>
        <w:rFonts w:hint="eastAsia"/>
      </w:rPr>
    </w:lvl>
    <w:lvl w:ilvl="1" w:tentative="0">
      <w:start w:val="1"/>
      <w:numFmt w:val="decimal"/>
      <w:pStyle w:val="163"/>
      <w:suff w:val="nothing"/>
      <w:lvlText w:val="%10.%2 "/>
      <w:lvlJc w:val="left"/>
      <w:pPr>
        <w:ind w:left="0" w:firstLine="0"/>
      </w:pPr>
      <w:rPr>
        <w:rFonts w:hint="eastAsia" w:ascii="黑体" w:hAnsi="等线" w:eastAsia="黑体"/>
        <w:b w:val="0"/>
        <w:i w:val="0"/>
        <w:sz w:val="21"/>
      </w:rPr>
    </w:lvl>
    <w:lvl w:ilvl="2" w:tentative="0">
      <w:start w:val="1"/>
      <w:numFmt w:val="decimal"/>
      <w:pStyle w:val="65"/>
      <w:suff w:val="nothing"/>
      <w:lvlText w:val="%10.%2.%3 "/>
      <w:lvlJc w:val="left"/>
      <w:pPr>
        <w:ind w:left="0" w:firstLine="0"/>
      </w:pPr>
      <w:rPr>
        <w:rFonts w:hint="eastAsia" w:ascii="黑体" w:hAnsi="等线" w:eastAsia="黑体"/>
        <w:b w:val="0"/>
        <w:i w:val="0"/>
        <w:sz w:val="21"/>
      </w:rPr>
    </w:lvl>
    <w:lvl w:ilvl="3" w:tentative="0">
      <w:start w:val="1"/>
      <w:numFmt w:val="decimal"/>
      <w:pStyle w:val="150"/>
      <w:suff w:val="nothing"/>
      <w:lvlText w:val="%10.%2.%3.%4 "/>
      <w:lvlJc w:val="left"/>
      <w:pPr>
        <w:ind w:left="0" w:firstLine="0"/>
      </w:pPr>
      <w:rPr>
        <w:rFonts w:hint="eastAsia" w:ascii="黑体" w:hAnsi="等线" w:eastAsia="黑体"/>
        <w:b w:val="0"/>
        <w:i w:val="0"/>
        <w:sz w:val="21"/>
      </w:rPr>
    </w:lvl>
    <w:lvl w:ilvl="4" w:tentative="0">
      <w:start w:val="1"/>
      <w:numFmt w:val="decimal"/>
      <w:pStyle w:val="88"/>
      <w:suff w:val="nothing"/>
      <w:lvlText w:val="%10.%2.%3.%4.%5 "/>
      <w:lvlJc w:val="left"/>
      <w:pPr>
        <w:ind w:left="0" w:firstLine="0"/>
      </w:pPr>
      <w:rPr>
        <w:rFonts w:hint="eastAsia" w:ascii="黑体" w:hAnsi="等线" w:eastAsia="黑体"/>
        <w:b w:val="0"/>
        <w:i w:val="0"/>
        <w:sz w:val="21"/>
      </w:rPr>
    </w:lvl>
    <w:lvl w:ilvl="5" w:tentative="0">
      <w:start w:val="1"/>
      <w:numFmt w:val="decimal"/>
      <w:pStyle w:val="195"/>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7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196"/>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0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200D2CB"/>
    <w:multiLevelType w:val="multilevel"/>
    <w:tmpl w:val="1200D2CB"/>
    <w:lvl w:ilvl="0" w:tentative="0">
      <w:start w:val="1"/>
      <w:numFmt w:val="decimal"/>
      <w:pStyle w:val="19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8">
    <w:nsid w:val="1AD20F90"/>
    <w:multiLevelType w:val="multilevel"/>
    <w:tmpl w:val="1AD20F90"/>
    <w:lvl w:ilvl="0" w:tentative="0">
      <w:start w:val="1"/>
      <w:numFmt w:val="none"/>
      <w:pStyle w:val="186"/>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133"/>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13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2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227"/>
      <w:lvlText w:val=""/>
      <w:lvlJc w:val="left"/>
      <w:pPr>
        <w:ind w:left="851" w:hanging="431"/>
      </w:pPr>
      <w:rPr>
        <w:rFonts w:hint="default" w:ascii="Symbol" w:hAnsi="Symbol"/>
        <w:sz w:val="21"/>
      </w:rPr>
    </w:lvl>
    <w:lvl w:ilvl="2" w:tentative="0">
      <w:start w:val="1"/>
      <w:numFmt w:val="bullet"/>
      <w:pStyle w:val="11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228"/>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8802D1C"/>
    <w:multiLevelType w:val="multilevel"/>
    <w:tmpl w:val="48802D1C"/>
    <w:lvl w:ilvl="0" w:tentative="0">
      <w:start w:val="1"/>
      <w:numFmt w:val="upperLetter"/>
      <w:pStyle w:val="169"/>
      <w:lvlText w:val="%1"/>
      <w:lvlJc w:val="left"/>
      <w:pPr>
        <w:ind w:left="420" w:hanging="420"/>
      </w:pPr>
      <w:rPr>
        <w:rFonts w:hint="eastAsia"/>
      </w:rPr>
    </w:lvl>
    <w:lvl w:ilvl="1" w:tentative="0">
      <w:start w:val="1"/>
      <w:numFmt w:val="decimal"/>
      <w:pStyle w:val="92"/>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0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20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13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7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27"/>
      <w:suff w:val="space"/>
      <w:lvlText w:val="%1"/>
      <w:lvlJc w:val="left"/>
      <w:pPr>
        <w:ind w:left="425" w:hanging="425"/>
      </w:pPr>
      <w:rPr>
        <w:rFonts w:hint="eastAsia"/>
      </w:rPr>
    </w:lvl>
    <w:lvl w:ilvl="1" w:tentative="0">
      <w:start w:val="1"/>
      <w:numFmt w:val="decimal"/>
      <w:pStyle w:val="14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4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20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28"/>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1"/>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144"/>
      <w:suff w:val="nothing"/>
      <w:lvlText w:val="附录%1"/>
      <w:lvlJc w:val="left"/>
      <w:pPr>
        <w:ind w:left="0" w:firstLine="0"/>
      </w:pPr>
      <w:rPr>
        <w:rFonts w:hint="eastAsia"/>
        <w:spacing w:val="100"/>
      </w:rPr>
    </w:lvl>
    <w:lvl w:ilvl="1" w:tentative="0">
      <w:start w:val="1"/>
      <w:numFmt w:val="decimal"/>
      <w:pStyle w:val="67"/>
      <w:suff w:val="nothing"/>
      <w:lvlText w:val="%1.%2　"/>
      <w:lvlJc w:val="left"/>
      <w:pPr>
        <w:ind w:left="0" w:firstLine="0"/>
      </w:pPr>
      <w:rPr>
        <w:rFonts w:hint="eastAsia" w:ascii="黑体" w:eastAsia="黑体"/>
        <w:b w:val="0"/>
        <w:i w:val="0"/>
        <w:sz w:val="21"/>
      </w:rPr>
    </w:lvl>
    <w:lvl w:ilvl="2" w:tentative="0">
      <w:start w:val="1"/>
      <w:numFmt w:val="decimal"/>
      <w:pStyle w:val="66"/>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126"/>
      <w:suff w:val="nothing"/>
      <w:lvlText w:val="%1.%2.%3.%4.%5　"/>
      <w:lvlJc w:val="left"/>
      <w:pPr>
        <w:ind w:left="0" w:firstLine="0"/>
      </w:pPr>
      <w:rPr>
        <w:rFonts w:hint="eastAsia" w:ascii="黑体" w:eastAsia="黑体"/>
        <w:b w:val="0"/>
        <w:i w:val="0"/>
        <w:sz w:val="21"/>
      </w:rPr>
    </w:lvl>
    <w:lvl w:ilvl="5" w:tentative="0">
      <w:start w:val="1"/>
      <w:numFmt w:val="decimal"/>
      <w:pStyle w:val="9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0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22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20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21"/>
      <w:suff w:val="nothing"/>
      <w:lvlText w:val="%1"/>
      <w:lvlJc w:val="left"/>
      <w:pPr>
        <w:ind w:left="0" w:firstLine="0"/>
      </w:pPr>
      <w:rPr>
        <w:rFonts w:hint="eastAsia"/>
      </w:rPr>
    </w:lvl>
    <w:lvl w:ilvl="1" w:tentative="0">
      <w:start w:val="1"/>
      <w:numFmt w:val="decimal"/>
      <w:pStyle w:val="7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97"/>
      <w:suff w:val="nothing"/>
      <w:lvlText w:val="%1%2.%3.%4　"/>
      <w:lvlJc w:val="left"/>
      <w:pPr>
        <w:ind w:left="0" w:firstLine="0"/>
      </w:pPr>
      <w:rPr>
        <w:rFonts w:hint="eastAsia" w:ascii="黑体" w:eastAsia="黑体"/>
        <w:b w:val="0"/>
        <w:i w:val="0"/>
        <w:sz w:val="21"/>
      </w:rPr>
    </w:lvl>
    <w:lvl w:ilvl="4" w:tentative="0">
      <w:start w:val="1"/>
      <w:numFmt w:val="decimal"/>
      <w:pStyle w:val="111"/>
      <w:suff w:val="nothing"/>
      <w:lvlText w:val="%1%2.%3.%4.%5　"/>
      <w:lvlJc w:val="left"/>
      <w:pPr>
        <w:ind w:left="0" w:firstLine="0"/>
      </w:pPr>
      <w:rPr>
        <w:rFonts w:hint="eastAsia" w:ascii="黑体" w:eastAsia="黑体"/>
        <w:b w:val="0"/>
        <w:i w:val="0"/>
        <w:sz w:val="21"/>
      </w:rPr>
    </w:lvl>
    <w:lvl w:ilvl="5" w:tentative="0">
      <w:start w:val="1"/>
      <w:numFmt w:val="decimal"/>
      <w:pStyle w:val="130"/>
      <w:suff w:val="nothing"/>
      <w:lvlText w:val="%1%2.%3.%4.%5.%6　"/>
      <w:lvlJc w:val="left"/>
      <w:pPr>
        <w:ind w:left="0" w:firstLine="0"/>
      </w:pPr>
      <w:rPr>
        <w:rFonts w:hint="eastAsia" w:ascii="黑体" w:eastAsia="黑体"/>
        <w:b w:val="0"/>
        <w:i w:val="0"/>
        <w:sz w:val="21"/>
      </w:rPr>
    </w:lvl>
    <w:lvl w:ilvl="6" w:tentative="0">
      <w:start w:val="1"/>
      <w:numFmt w:val="decimal"/>
      <w:pStyle w:val="10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92"/>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7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23"/>
  </w:num>
  <w:num w:numId="4">
    <w:abstractNumId w:val="27"/>
  </w:num>
  <w:num w:numId="5">
    <w:abstractNumId w:val="30"/>
  </w:num>
  <w:num w:numId="6">
    <w:abstractNumId w:val="4"/>
  </w:num>
  <w:num w:numId="7">
    <w:abstractNumId w:val="17"/>
  </w:num>
  <w:num w:numId="8">
    <w:abstractNumId w:val="2"/>
  </w:num>
  <w:num w:numId="9">
    <w:abstractNumId w:val="28"/>
  </w:num>
  <w:num w:numId="10">
    <w:abstractNumId w:val="13"/>
  </w:num>
  <w:num w:numId="11">
    <w:abstractNumId w:val="24"/>
  </w:num>
  <w:num w:numId="12">
    <w:abstractNumId w:val="14"/>
  </w:num>
  <w:num w:numId="13">
    <w:abstractNumId w:val="6"/>
  </w:num>
  <w:num w:numId="14">
    <w:abstractNumId w:val="11"/>
  </w:num>
  <w:num w:numId="15">
    <w:abstractNumId w:val="18"/>
  </w:num>
  <w:num w:numId="16">
    <w:abstractNumId w:val="21"/>
  </w:num>
  <w:num w:numId="17">
    <w:abstractNumId w:val="9"/>
  </w:num>
  <w:num w:numId="18">
    <w:abstractNumId w:val="16"/>
  </w:num>
  <w:num w:numId="19">
    <w:abstractNumId w:val="10"/>
  </w:num>
  <w:num w:numId="20">
    <w:abstractNumId w:val="19"/>
  </w:num>
  <w:num w:numId="21">
    <w:abstractNumId w:val="22"/>
  </w:num>
  <w:num w:numId="22">
    <w:abstractNumId w:val="8"/>
  </w:num>
  <w:num w:numId="23">
    <w:abstractNumId w:val="7"/>
  </w:num>
  <w:num w:numId="24">
    <w:abstractNumId w:val="29"/>
  </w:num>
  <w:num w:numId="25">
    <w:abstractNumId w:val="5"/>
  </w:num>
  <w:num w:numId="26">
    <w:abstractNumId w:val="26"/>
  </w:num>
  <w:num w:numId="27">
    <w:abstractNumId w:val="20"/>
  </w:num>
  <w:num w:numId="28">
    <w:abstractNumId w:val="1"/>
  </w:num>
  <w:num w:numId="29">
    <w:abstractNumId w:val="15"/>
  </w:num>
  <w:num w:numId="30">
    <w:abstractNumId w:val="25"/>
  </w:num>
  <w:num w:numId="31">
    <w:abstractNumId w:val="1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Full" w:cryptAlgorithmClass="hash" w:cryptAlgorithmType="typeAny" w:cryptAlgorithmSid="4" w:cryptSpinCount="0" w:hash="BrVIaryD135gJBYeJM03r7KuFd8=" w:salt="iK+iyjP44cNXgs2BH5VE4A=="/>
  <w:defaultTabStop w:val="420"/>
  <w:evenAndOddHeaders w:val="1"/>
  <w:drawingGridHorizontalSpacing w:val="105"/>
  <w:drawingGridVerticalSpacing w:val="158"/>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gxMGE3MjkwNDJjZjBmNzM0MDlmZGVhMWMzNWUxOWIifQ=="/>
  </w:docVars>
  <w:rsids>
    <w:rsidRoot w:val="62BC6F5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94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A792C"/>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3ABE"/>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26FE"/>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0E24"/>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4ED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0D7A"/>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836"/>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0B9E"/>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072A78"/>
    <w:rsid w:val="02443CCC"/>
    <w:rsid w:val="02A93B2F"/>
    <w:rsid w:val="033513B6"/>
    <w:rsid w:val="034F0AEC"/>
    <w:rsid w:val="03EB0E71"/>
    <w:rsid w:val="0477566F"/>
    <w:rsid w:val="07B62F76"/>
    <w:rsid w:val="09B75D68"/>
    <w:rsid w:val="0BAE21B6"/>
    <w:rsid w:val="0BF57606"/>
    <w:rsid w:val="0BF7465A"/>
    <w:rsid w:val="0C2661F0"/>
    <w:rsid w:val="0C7D22B4"/>
    <w:rsid w:val="0CAA0BCF"/>
    <w:rsid w:val="0D006A41"/>
    <w:rsid w:val="0D2E35AF"/>
    <w:rsid w:val="0DB00467"/>
    <w:rsid w:val="0DF77E44"/>
    <w:rsid w:val="0E6354DA"/>
    <w:rsid w:val="11D113C2"/>
    <w:rsid w:val="13A520F1"/>
    <w:rsid w:val="13E1766D"/>
    <w:rsid w:val="14EB1E7E"/>
    <w:rsid w:val="14F40071"/>
    <w:rsid w:val="167F00E5"/>
    <w:rsid w:val="16900E36"/>
    <w:rsid w:val="1E391DB3"/>
    <w:rsid w:val="1F016D75"/>
    <w:rsid w:val="1F3A5DE3"/>
    <w:rsid w:val="1FDE2C12"/>
    <w:rsid w:val="20A16773"/>
    <w:rsid w:val="210C37AF"/>
    <w:rsid w:val="21B31E7D"/>
    <w:rsid w:val="22EF5136"/>
    <w:rsid w:val="24E32A79"/>
    <w:rsid w:val="2547125A"/>
    <w:rsid w:val="256040C9"/>
    <w:rsid w:val="268838D8"/>
    <w:rsid w:val="268E5492"/>
    <w:rsid w:val="26D20FF7"/>
    <w:rsid w:val="277C423E"/>
    <w:rsid w:val="27A13D48"/>
    <w:rsid w:val="27DA0163"/>
    <w:rsid w:val="28186EDD"/>
    <w:rsid w:val="283F446A"/>
    <w:rsid w:val="2E5C0368"/>
    <w:rsid w:val="300402E1"/>
    <w:rsid w:val="30843A88"/>
    <w:rsid w:val="314F3970"/>
    <w:rsid w:val="31556AAC"/>
    <w:rsid w:val="319475D5"/>
    <w:rsid w:val="33F7209D"/>
    <w:rsid w:val="35624D04"/>
    <w:rsid w:val="361707D4"/>
    <w:rsid w:val="37375328"/>
    <w:rsid w:val="39162FC5"/>
    <w:rsid w:val="3AEF3ACE"/>
    <w:rsid w:val="3BE21884"/>
    <w:rsid w:val="3D3A4B5B"/>
    <w:rsid w:val="4055706E"/>
    <w:rsid w:val="40925627"/>
    <w:rsid w:val="410A4BA0"/>
    <w:rsid w:val="41593618"/>
    <w:rsid w:val="42DF08CC"/>
    <w:rsid w:val="42FC76D0"/>
    <w:rsid w:val="477C493B"/>
    <w:rsid w:val="4B644064"/>
    <w:rsid w:val="4C0F5D7E"/>
    <w:rsid w:val="4C1C049B"/>
    <w:rsid w:val="4CA14FD3"/>
    <w:rsid w:val="4CC4300C"/>
    <w:rsid w:val="4D0F1DAD"/>
    <w:rsid w:val="4E1E674C"/>
    <w:rsid w:val="4F2558B8"/>
    <w:rsid w:val="513B3C4F"/>
    <w:rsid w:val="517F7502"/>
    <w:rsid w:val="51943553"/>
    <w:rsid w:val="54D7157C"/>
    <w:rsid w:val="5BFB1E7B"/>
    <w:rsid w:val="5C970117"/>
    <w:rsid w:val="5DF2000D"/>
    <w:rsid w:val="5E68756F"/>
    <w:rsid w:val="5EA70098"/>
    <w:rsid w:val="609B16E3"/>
    <w:rsid w:val="60CC2038"/>
    <w:rsid w:val="62926B1F"/>
    <w:rsid w:val="62BC6F59"/>
    <w:rsid w:val="64552344"/>
    <w:rsid w:val="665A1E94"/>
    <w:rsid w:val="66CF63DE"/>
    <w:rsid w:val="67310E46"/>
    <w:rsid w:val="67471BCA"/>
    <w:rsid w:val="6A7C062B"/>
    <w:rsid w:val="6CE200E9"/>
    <w:rsid w:val="6DA3472D"/>
    <w:rsid w:val="6DA73C10"/>
    <w:rsid w:val="6F142121"/>
    <w:rsid w:val="70651B61"/>
    <w:rsid w:val="72C214EC"/>
    <w:rsid w:val="782D11B6"/>
    <w:rsid w:val="78393FFF"/>
    <w:rsid w:val="784E2B59"/>
    <w:rsid w:val="7D440D6F"/>
    <w:rsid w:val="7D952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43"/>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4"/>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6"/>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47"/>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5"/>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正文文本 Char"/>
    <w:link w:val="13"/>
    <w:qFormat/>
    <w:uiPriority w:val="0"/>
    <w:rPr>
      <w:rFonts w:ascii="Times New Roman" w:hAnsi="Times New Roman" w:eastAsia="宋体" w:cs="Times New Roman"/>
      <w:szCs w:val="20"/>
    </w:rPr>
  </w:style>
  <w:style w:type="character" w:customStyle="1" w:styleId="44">
    <w:name w:val="批注框文本 Char"/>
    <w:link w:val="16"/>
    <w:semiHidden/>
    <w:qFormat/>
    <w:uiPriority w:val="99"/>
    <w:rPr>
      <w:sz w:val="18"/>
      <w:szCs w:val="18"/>
    </w:rPr>
  </w:style>
  <w:style w:type="character" w:customStyle="1" w:styleId="45">
    <w:name w:val="页脚 Char"/>
    <w:link w:val="17"/>
    <w:qFormat/>
    <w:uiPriority w:val="99"/>
    <w:rPr>
      <w:rFonts w:ascii="宋体" w:hAnsi="Times New Roman" w:eastAsia="宋体" w:cs="Times New Roman"/>
      <w:sz w:val="18"/>
      <w:szCs w:val="18"/>
    </w:rPr>
  </w:style>
  <w:style w:type="character" w:customStyle="1" w:styleId="46">
    <w:name w:val="页眉 Char"/>
    <w:link w:val="18"/>
    <w:qFormat/>
    <w:uiPriority w:val="99"/>
    <w:rPr>
      <w:rFonts w:ascii="Times New Roman" w:hAnsi="Times New Roman" w:eastAsia="宋体" w:cs="Times New Roman"/>
      <w:sz w:val="18"/>
      <w:szCs w:val="18"/>
    </w:rPr>
  </w:style>
  <w:style w:type="character" w:customStyle="1" w:styleId="47">
    <w:name w:val="脚注文本 Char"/>
    <w:link w:val="21"/>
    <w:semiHidden/>
    <w:qFormat/>
    <w:uiPriority w:val="0"/>
    <w:rPr>
      <w:rFonts w:ascii="宋体" w:hAnsi="Times New Roman" w:eastAsia="宋体" w:cs="Times New Roman"/>
      <w:sz w:val="18"/>
      <w:szCs w:val="18"/>
    </w:rPr>
  </w:style>
  <w:style w:type="character" w:customStyle="1" w:styleId="48">
    <w:name w:val="标题 Char"/>
    <w:link w:val="25"/>
    <w:qFormat/>
    <w:uiPriority w:val="0"/>
    <w:rPr>
      <w:rFonts w:ascii="Arial" w:hAnsi="Arial" w:eastAsia="宋体" w:cs="Arial"/>
      <w:b/>
      <w:bCs/>
      <w:sz w:val="32"/>
      <w:szCs w:val="32"/>
    </w:rPr>
  </w:style>
  <w:style w:type="character" w:customStyle="1" w:styleId="49">
    <w:name w:val="标准文件_示例X后 字符"/>
    <w:basedOn w:val="50"/>
    <w:link w:val="52"/>
    <w:qFormat/>
    <w:uiPriority w:val="0"/>
    <w:rPr>
      <w:rFonts w:ascii="宋体" w:hAnsi="Times New Roman"/>
      <w:sz w:val="18"/>
    </w:rPr>
  </w:style>
  <w:style w:type="character" w:customStyle="1" w:styleId="50">
    <w:name w:val="标准文件_段 Char"/>
    <w:link w:val="51"/>
    <w:qFormat/>
    <w:uiPriority w:val="0"/>
    <w:rPr>
      <w:rFonts w:ascii="宋体" w:hAnsi="Times New Roman"/>
      <w:sz w:val="21"/>
    </w:rPr>
  </w:style>
  <w:style w:type="paragraph" w:customStyle="1" w:styleId="51">
    <w:name w:val="标准文件_段"/>
    <w:link w:val="5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
    <w:name w:val="标准文件_示例X后"/>
    <w:basedOn w:val="51"/>
    <w:link w:val="49"/>
    <w:qFormat/>
    <w:uiPriority w:val="0"/>
    <w:pPr>
      <w:ind w:left="1049" w:firstLine="0" w:firstLineChars="0"/>
    </w:pPr>
    <w:rPr>
      <w:sz w:val="18"/>
    </w:rPr>
  </w:style>
  <w:style w:type="character" w:customStyle="1" w:styleId="53">
    <w:name w:val="不明显参考1"/>
    <w:qFormat/>
    <w:uiPriority w:val="31"/>
    <w:rPr>
      <w:smallCaps/>
      <w:color w:val="C0504D"/>
      <w:u w:val="single"/>
    </w:rPr>
  </w:style>
  <w:style w:type="character" w:customStyle="1" w:styleId="54">
    <w:name w:val="标准文件_图表脚注内容"/>
    <w:qFormat/>
    <w:uiPriority w:val="0"/>
    <w:rPr>
      <w:rFonts w:ascii="宋体" w:hAnsi="宋体" w:eastAsia="宋体" w:cs="Times New Roman"/>
      <w:spacing w:val="0"/>
      <w:sz w:val="18"/>
      <w:vertAlign w:val="superscript"/>
    </w:rPr>
  </w:style>
  <w:style w:type="character" w:customStyle="1" w:styleId="55">
    <w:name w:val="标准文件_来源"/>
    <w:basedOn w:val="28"/>
    <w:qFormat/>
    <w:uiPriority w:val="1"/>
    <w:rPr>
      <w:rFonts w:eastAsia="宋体"/>
      <w:sz w:val="21"/>
    </w:rPr>
  </w:style>
  <w:style w:type="character" w:styleId="56">
    <w:name w:val="Placeholder Text"/>
    <w:basedOn w:val="28"/>
    <w:semiHidden/>
    <w:qFormat/>
    <w:uiPriority w:val="99"/>
    <w:rPr>
      <w:color w:val="808080"/>
    </w:rPr>
  </w:style>
  <w:style w:type="character" w:customStyle="1" w:styleId="57">
    <w:name w:val="个人答复风格"/>
    <w:qFormat/>
    <w:uiPriority w:val="0"/>
    <w:rPr>
      <w:rFonts w:ascii="Arial" w:hAnsi="Arial" w:eastAsia="宋体" w:cs="Arial"/>
      <w:color w:val="auto"/>
      <w:spacing w:val="0"/>
      <w:sz w:val="20"/>
    </w:rPr>
  </w:style>
  <w:style w:type="character" w:customStyle="1" w:styleId="58">
    <w:name w:val="引用 Char"/>
    <w:link w:val="59"/>
    <w:qFormat/>
    <w:uiPriority w:val="29"/>
    <w:rPr>
      <w:i/>
      <w:iCs/>
      <w:color w:val="000000"/>
    </w:rPr>
  </w:style>
  <w:style w:type="paragraph" w:styleId="59">
    <w:name w:val="Quote"/>
    <w:basedOn w:val="1"/>
    <w:next w:val="1"/>
    <w:link w:val="58"/>
    <w:qFormat/>
    <w:uiPriority w:val="29"/>
    <w:rPr>
      <w:i/>
      <w:iCs/>
      <w:color w:val="000000"/>
    </w:rPr>
  </w:style>
  <w:style w:type="character" w:customStyle="1" w:styleId="60">
    <w:name w:val="个人撰写风格"/>
    <w:qFormat/>
    <w:uiPriority w:val="0"/>
    <w:rPr>
      <w:rFonts w:ascii="Arial" w:hAnsi="Arial" w:eastAsia="宋体" w:cs="Arial"/>
      <w:color w:val="auto"/>
      <w:spacing w:val="0"/>
      <w:sz w:val="20"/>
    </w:rPr>
  </w:style>
  <w:style w:type="character" w:customStyle="1" w:styleId="61">
    <w:name w:val="标准文件_发布"/>
    <w:qFormat/>
    <w:uiPriority w:val="0"/>
    <w:rPr>
      <w:rFonts w:ascii="黑体" w:eastAsia="黑体"/>
      <w:spacing w:val="0"/>
      <w:w w:val="100"/>
      <w:position w:val="3"/>
      <w:sz w:val="28"/>
    </w:rPr>
  </w:style>
  <w:style w:type="character" w:customStyle="1" w:styleId="62">
    <w:name w:val="发布"/>
    <w:basedOn w:val="28"/>
    <w:qFormat/>
    <w:uiPriority w:val="0"/>
    <w:rPr>
      <w:rFonts w:ascii="黑体" w:eastAsia="黑体"/>
      <w:spacing w:val="85"/>
      <w:w w:val="100"/>
      <w:position w:val="3"/>
      <w:sz w:val="28"/>
      <w:szCs w:val="28"/>
    </w:rPr>
  </w:style>
  <w:style w:type="paragraph" w:customStyle="1" w:styleId="63">
    <w:name w:val="标准文件_字母编号列项（一级）"/>
    <w:qFormat/>
    <w:uiPriority w:val="0"/>
    <w:pPr>
      <w:numPr>
        <w:ilvl w:val="0"/>
        <w:numId w:val="1"/>
      </w:numPr>
      <w:jc w:val="both"/>
    </w:pPr>
    <w:rPr>
      <w:rFonts w:ascii="宋体" w:hAnsi="Times New Roman" w:eastAsia="宋体" w:cs="Times New Roman"/>
      <w:sz w:val="21"/>
      <w:lang w:val="en-US" w:eastAsia="zh-CN" w:bidi="ar-SA"/>
    </w:rPr>
  </w:style>
  <w:style w:type="paragraph" w:customStyle="1" w:styleId="64">
    <w:name w:val="标准文件_引言二级无标题"/>
    <w:basedOn w:val="65"/>
    <w:next w:val="51"/>
    <w:qFormat/>
    <w:uiPriority w:val="0"/>
    <w:pPr>
      <w:spacing w:beforeLines="0" w:afterLines="0" w:line="276" w:lineRule="auto"/>
    </w:pPr>
    <w:rPr>
      <w:rFonts w:ascii="宋体" w:eastAsia="宋体"/>
    </w:rPr>
  </w:style>
  <w:style w:type="paragraph" w:customStyle="1" w:styleId="65">
    <w:name w:val="标准文件_引言二级条标题"/>
    <w:basedOn w:val="51"/>
    <w:next w:val="51"/>
    <w:qFormat/>
    <w:uiPriority w:val="0"/>
    <w:pPr>
      <w:numPr>
        <w:ilvl w:val="2"/>
        <w:numId w:val="2"/>
      </w:numPr>
      <w:spacing w:beforeLines="50" w:afterLines="50"/>
      <w:ind w:firstLineChars="0"/>
    </w:pPr>
    <w:rPr>
      <w:rFonts w:ascii="黑体" w:eastAsia="黑体"/>
    </w:rPr>
  </w:style>
  <w:style w:type="paragraph" w:customStyle="1" w:styleId="66">
    <w:name w:val="标准文件_附录二级条标题"/>
    <w:basedOn w:val="67"/>
    <w:next w:val="51"/>
    <w:qFormat/>
    <w:uiPriority w:val="0"/>
    <w:pPr>
      <w:widowControl/>
      <w:numPr>
        <w:ilvl w:val="2"/>
      </w:numPr>
      <w:wordWrap w:val="0"/>
      <w:overflowPunct w:val="0"/>
      <w:autoSpaceDE w:val="0"/>
      <w:autoSpaceDN w:val="0"/>
      <w:textAlignment w:val="baseline"/>
      <w:outlineLvl w:val="3"/>
    </w:pPr>
  </w:style>
  <w:style w:type="paragraph" w:customStyle="1" w:styleId="67">
    <w:name w:val="标准文件_附录一级条标题"/>
    <w:next w:val="51"/>
    <w:qFormat/>
    <w:uiPriority w:val="0"/>
    <w:pPr>
      <w:widowControl w:val="0"/>
      <w:numPr>
        <w:ilvl w:val="1"/>
        <w:numId w:val="3"/>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68">
    <w:name w:val="标准文件_文件编号"/>
    <w:basedOn w:val="51"/>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69">
    <w:name w:val="标准文件_封面标准编号"/>
    <w:basedOn w:val="1"/>
    <w:next w:val="70"/>
    <w:qFormat/>
    <w:uiPriority w:val="0"/>
    <w:pPr>
      <w:spacing w:line="310" w:lineRule="exact"/>
      <w:jc w:val="right"/>
    </w:pPr>
    <w:rPr>
      <w:rFonts w:ascii="黑体" w:eastAsia="黑体"/>
      <w:kern w:val="0"/>
      <w:sz w:val="28"/>
    </w:rPr>
  </w:style>
  <w:style w:type="paragraph" w:customStyle="1" w:styleId="70">
    <w:name w:val="标准文件_标准代替"/>
    <w:basedOn w:val="1"/>
    <w:next w:val="1"/>
    <w:qFormat/>
    <w:uiPriority w:val="0"/>
    <w:pPr>
      <w:spacing w:line="310" w:lineRule="exact"/>
      <w:jc w:val="right"/>
    </w:pPr>
    <w:rPr>
      <w:rFonts w:ascii="宋体" w:hAnsi="宋体"/>
      <w:kern w:val="0"/>
    </w:rPr>
  </w:style>
  <w:style w:type="paragraph" w:customStyle="1" w:styleId="71">
    <w:name w:val="标准文件_章标题"/>
    <w:next w:val="51"/>
    <w:qFormat/>
    <w:uiPriority w:val="0"/>
    <w:pPr>
      <w:numPr>
        <w:ilvl w:val="1"/>
        <w:numId w:val="4"/>
      </w:numPr>
      <w:spacing w:beforeLines="100" w:afterLines="100"/>
      <w:jc w:val="both"/>
      <w:outlineLvl w:val="0"/>
    </w:pPr>
    <w:rPr>
      <w:rFonts w:ascii="黑体" w:hAnsi="Times New Roman" w:eastAsia="黑体" w:cs="Times New Roman"/>
      <w:sz w:val="21"/>
      <w:lang w:val="en-US" w:eastAsia="zh-CN" w:bidi="ar-SA"/>
    </w:rPr>
  </w:style>
  <w:style w:type="paragraph" w:customStyle="1" w:styleId="72">
    <w:name w:val="列项——"/>
    <w:qFormat/>
    <w:uiPriority w:val="0"/>
    <w:pPr>
      <w:widowControl w:val="0"/>
      <w:numPr>
        <w:ilvl w:val="0"/>
        <w:numId w:val="5"/>
      </w:numPr>
      <w:jc w:val="both"/>
    </w:pPr>
    <w:rPr>
      <w:rFonts w:ascii="宋体" w:hAnsi="宋体" w:eastAsia="宋体" w:cs="Times New Roman"/>
      <w:sz w:val="21"/>
      <w:lang w:val="en-US" w:eastAsia="zh-CN" w:bidi="ar-SA"/>
    </w:rPr>
  </w:style>
  <w:style w:type="paragraph" w:customStyle="1" w:styleId="73">
    <w:name w:val="标准文件_示例："/>
    <w:next w:val="74"/>
    <w:qFormat/>
    <w:uiPriority w:val="0"/>
    <w:pPr>
      <w:widowControl w:val="0"/>
      <w:numPr>
        <w:ilvl w:val="0"/>
        <w:numId w:val="6"/>
      </w:numPr>
      <w:jc w:val="both"/>
    </w:pPr>
    <w:rPr>
      <w:rFonts w:ascii="宋体" w:hAnsi="Times New Roman" w:eastAsia="宋体" w:cs="Times New Roman"/>
      <w:sz w:val="18"/>
      <w:szCs w:val="18"/>
      <w:lang w:val="en-US" w:eastAsia="zh-CN" w:bidi="ar-SA"/>
    </w:rPr>
  </w:style>
  <w:style w:type="paragraph" w:customStyle="1" w:styleId="74">
    <w:name w:val="标准文件_示例内容"/>
    <w:basedOn w:val="51"/>
    <w:qFormat/>
    <w:uiPriority w:val="0"/>
    <w:pPr>
      <w:ind w:firstLine="420"/>
    </w:pPr>
    <w:rPr>
      <w:sz w:val="18"/>
    </w:rPr>
  </w:style>
  <w:style w:type="paragraph" w:customStyle="1" w:styleId="75">
    <w:name w:val="封面正文"/>
    <w:qFormat/>
    <w:uiPriority w:val="0"/>
    <w:pPr>
      <w:jc w:val="both"/>
    </w:pPr>
    <w:rPr>
      <w:rFonts w:ascii="Times New Roman" w:hAnsi="Times New Roman" w:eastAsia="宋体" w:cs="Times New Roman"/>
      <w:lang w:val="en-US" w:eastAsia="zh-CN" w:bidi="ar-SA"/>
    </w:rPr>
  </w:style>
  <w:style w:type="paragraph" w:customStyle="1" w:styleId="76">
    <w:name w:val="标准文件_正文图标题"/>
    <w:next w:val="51"/>
    <w:qFormat/>
    <w:uiPriority w:val="0"/>
    <w:pPr>
      <w:numPr>
        <w:ilvl w:val="0"/>
        <w:numId w:val="7"/>
      </w:numPr>
      <w:spacing w:beforeLines="50" w:afterLines="50"/>
      <w:jc w:val="center"/>
    </w:pPr>
    <w:rPr>
      <w:rFonts w:ascii="黑体" w:hAnsi="Times New Roman" w:eastAsia="黑体" w:cs="Times New Roman"/>
      <w:sz w:val="21"/>
      <w:lang w:val="en-US" w:eastAsia="zh-CN" w:bidi="ar-SA"/>
    </w:rPr>
  </w:style>
  <w:style w:type="paragraph" w:customStyle="1" w:styleId="77">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78">
    <w:name w:val="二级无标题条"/>
    <w:basedOn w:val="1"/>
    <w:qFormat/>
    <w:uiPriority w:val="0"/>
    <w:pPr>
      <w:numPr>
        <w:ilvl w:val="3"/>
        <w:numId w:val="8"/>
      </w:numPr>
      <w:adjustRightInd/>
      <w:spacing w:line="240" w:lineRule="auto"/>
    </w:pPr>
    <w:rPr>
      <w:rFonts w:ascii="宋体" w:hAnsi="宋体"/>
      <w:szCs w:val="24"/>
    </w:rPr>
  </w:style>
  <w:style w:type="paragraph" w:customStyle="1" w:styleId="79">
    <w:name w:val="目录 61"/>
    <w:basedOn w:val="1"/>
    <w:next w:val="1"/>
    <w:semiHidden/>
    <w:qFormat/>
    <w:uiPriority w:val="0"/>
    <w:pPr>
      <w:adjustRightInd/>
      <w:spacing w:line="240" w:lineRule="auto"/>
      <w:jc w:val="left"/>
    </w:pPr>
  </w:style>
  <w:style w:type="paragraph" w:customStyle="1" w:styleId="80">
    <w:name w:val="标准文件_封面标准英文名称"/>
    <w:basedOn w:val="1"/>
    <w:qFormat/>
    <w:uiPriority w:val="0"/>
    <w:pPr>
      <w:spacing w:line="240" w:lineRule="auto"/>
      <w:jc w:val="center"/>
    </w:pPr>
    <w:rPr>
      <w:rFonts w:ascii="黑体" w:eastAsia="黑体"/>
      <w:b/>
      <w:sz w:val="28"/>
    </w:rPr>
  </w:style>
  <w:style w:type="paragraph" w:customStyle="1" w:styleId="81">
    <w:name w:val="标准文件_一级无标题"/>
    <w:basedOn w:val="82"/>
    <w:qFormat/>
    <w:uiPriority w:val="0"/>
    <w:pPr>
      <w:spacing w:beforeLines="0" w:afterLines="0"/>
      <w:outlineLvl w:val="9"/>
    </w:pPr>
    <w:rPr>
      <w:rFonts w:ascii="宋体" w:eastAsia="宋体"/>
    </w:rPr>
  </w:style>
  <w:style w:type="paragraph" w:customStyle="1" w:styleId="82">
    <w:name w:val="标准文件_一级条标题"/>
    <w:basedOn w:val="71"/>
    <w:next w:val="51"/>
    <w:qFormat/>
    <w:uiPriority w:val="0"/>
    <w:pPr>
      <w:numPr>
        <w:ilvl w:val="2"/>
      </w:numPr>
      <w:spacing w:beforeLines="50" w:afterLines="50"/>
      <w:outlineLvl w:val="1"/>
    </w:pPr>
  </w:style>
  <w:style w:type="paragraph" w:customStyle="1" w:styleId="83">
    <w:name w:val="标准文件_注："/>
    <w:next w:val="51"/>
    <w:qFormat/>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84">
    <w:name w:val="标准文件_附录三级无标题"/>
    <w:basedOn w:val="85"/>
    <w:qFormat/>
    <w:uiPriority w:val="0"/>
    <w:pPr>
      <w:spacing w:beforeLines="0" w:afterLines="0" w:line="276" w:lineRule="auto"/>
      <w:outlineLvl w:val="9"/>
    </w:pPr>
    <w:rPr>
      <w:rFonts w:ascii="宋体" w:eastAsia="宋体"/>
    </w:rPr>
  </w:style>
  <w:style w:type="paragraph" w:customStyle="1" w:styleId="85">
    <w:name w:val="标准文件_附录三级条标题"/>
    <w:next w:val="51"/>
    <w:qFormat/>
    <w:uiPriority w:val="0"/>
    <w:pPr>
      <w:widowControl w:val="0"/>
      <w:numPr>
        <w:ilvl w:val="3"/>
        <w:numId w:val="3"/>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87">
    <w:name w:val="标准文件_引言四级无标题"/>
    <w:basedOn w:val="88"/>
    <w:next w:val="51"/>
    <w:qFormat/>
    <w:uiPriority w:val="0"/>
    <w:pPr>
      <w:spacing w:beforeLines="0" w:afterLines="0" w:line="276" w:lineRule="auto"/>
    </w:pPr>
    <w:rPr>
      <w:rFonts w:ascii="宋体" w:eastAsia="宋体"/>
    </w:rPr>
  </w:style>
  <w:style w:type="paragraph" w:customStyle="1" w:styleId="88">
    <w:name w:val="标准文件_引言四级条标题"/>
    <w:basedOn w:val="51"/>
    <w:next w:val="51"/>
    <w:qFormat/>
    <w:uiPriority w:val="0"/>
    <w:pPr>
      <w:numPr>
        <w:ilvl w:val="4"/>
        <w:numId w:val="2"/>
      </w:numPr>
      <w:spacing w:beforeLines="50" w:afterLines="50"/>
      <w:ind w:firstLineChars="0"/>
    </w:pPr>
    <w:rPr>
      <w:rFonts w:ascii="黑体" w:eastAsia="黑体"/>
    </w:rPr>
  </w:style>
  <w:style w:type="paragraph" w:customStyle="1" w:styleId="89">
    <w:name w:val="其他实施日期"/>
    <w:basedOn w:val="90"/>
    <w:qFormat/>
    <w:uiPriority w:val="0"/>
    <w:pPr>
      <w:framePr w:w="3997" w:h="471" w:hRule="exact" w:vSpace="181" w:wrap="around" w:vAnchor="page" w:hAnchor="page" w:x="7089" w:y="14097"/>
    </w:pPr>
  </w:style>
  <w:style w:type="paragraph" w:customStyle="1" w:styleId="90">
    <w:name w:val="实施日期"/>
    <w:basedOn w:val="91"/>
    <w:qFormat/>
    <w:uiPriority w:val="0"/>
    <w:pPr>
      <w:framePr w:hSpace="0" w:wrap="around" w:xAlign="right"/>
      <w:jc w:val="right"/>
    </w:pPr>
  </w:style>
  <w:style w:type="paragraph" w:customStyle="1" w:styleId="9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2">
    <w:name w:val="标准文件_附录图标题"/>
    <w:next w:val="51"/>
    <w:qFormat/>
    <w:uiPriority w:val="0"/>
    <w:pPr>
      <w:numPr>
        <w:ilvl w:val="1"/>
        <w:numId w:val="10"/>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93">
    <w:name w:val="标准文件_附录五级无标题"/>
    <w:basedOn w:val="94"/>
    <w:qFormat/>
    <w:uiPriority w:val="0"/>
    <w:pPr>
      <w:spacing w:beforeLines="0" w:afterLines="0" w:line="276" w:lineRule="auto"/>
      <w:outlineLvl w:val="9"/>
    </w:pPr>
    <w:rPr>
      <w:rFonts w:ascii="宋体" w:eastAsia="宋体"/>
    </w:rPr>
  </w:style>
  <w:style w:type="paragraph" w:customStyle="1" w:styleId="94">
    <w:name w:val="标准文件_附录五级条标题"/>
    <w:next w:val="51"/>
    <w:qFormat/>
    <w:uiPriority w:val="0"/>
    <w:pPr>
      <w:widowControl w:val="0"/>
      <w:numPr>
        <w:ilvl w:val="5"/>
        <w:numId w:val="3"/>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5">
    <w:name w:val="标准文件_术语条二"/>
    <w:basedOn w:val="96"/>
    <w:next w:val="51"/>
    <w:qFormat/>
    <w:uiPriority w:val="0"/>
    <w:rPr>
      <w:rFonts w:ascii="黑体" w:hAnsi="黑体" w:eastAsia="黑体" w:cs="黑体"/>
    </w:rPr>
  </w:style>
  <w:style w:type="paragraph" w:customStyle="1" w:styleId="96">
    <w:name w:val="标准文件_二级无标题"/>
    <w:basedOn w:val="97"/>
    <w:qFormat/>
    <w:uiPriority w:val="0"/>
    <w:pPr>
      <w:spacing w:beforeLines="0" w:afterLines="0"/>
      <w:outlineLvl w:val="9"/>
    </w:pPr>
    <w:rPr>
      <w:rFonts w:ascii="宋体" w:eastAsia="宋体"/>
    </w:rPr>
  </w:style>
  <w:style w:type="paragraph" w:customStyle="1" w:styleId="97">
    <w:name w:val="标准文件_二级条标题"/>
    <w:next w:val="51"/>
    <w:qFormat/>
    <w:uiPriority w:val="0"/>
    <w:pPr>
      <w:widowControl w:val="0"/>
      <w:numPr>
        <w:ilvl w:val="3"/>
        <w:numId w:val="4"/>
      </w:numPr>
      <w:spacing w:beforeLines="50" w:afterLines="50"/>
      <w:jc w:val="both"/>
      <w:outlineLvl w:val="2"/>
    </w:pPr>
    <w:rPr>
      <w:rFonts w:ascii="黑体" w:hAnsi="Times New Roman" w:eastAsia="黑体" w:cs="Times New Roman"/>
      <w:sz w:val="21"/>
      <w:lang w:val="en-US" w:eastAsia="zh-CN" w:bidi="ar-SA"/>
    </w:rPr>
  </w:style>
  <w:style w:type="paragraph" w:customStyle="1" w:styleId="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01">
    <w:name w:val="标准文件_三级项2"/>
    <w:basedOn w:val="51"/>
    <w:qFormat/>
    <w:uiPriority w:val="0"/>
    <w:pPr>
      <w:numPr>
        <w:ilvl w:val="0"/>
        <w:numId w:val="11"/>
      </w:numPr>
      <w:spacing w:line="300" w:lineRule="exact"/>
      <w:ind w:left="1276" w:hanging="425" w:firstLineChars="0"/>
    </w:pPr>
    <w:rPr>
      <w:rFonts w:ascii="Times New Roman"/>
    </w:rPr>
  </w:style>
  <w:style w:type="paragraph" w:customStyle="1" w:styleId="102">
    <w:name w:val="标准文件_附录一级无标题"/>
    <w:basedOn w:val="67"/>
    <w:qFormat/>
    <w:uiPriority w:val="0"/>
    <w:pPr>
      <w:spacing w:beforeLines="0" w:afterLines="0" w:line="276" w:lineRule="auto"/>
      <w:outlineLvl w:val="9"/>
    </w:pPr>
    <w:rPr>
      <w:rFonts w:ascii="宋体" w:eastAsia="宋体"/>
    </w:rPr>
  </w:style>
  <w:style w:type="paragraph" w:customStyle="1" w:styleId="103">
    <w:name w:val="无标题条"/>
    <w:next w:val="51"/>
    <w:qFormat/>
    <w:uiPriority w:val="0"/>
    <w:pPr>
      <w:jc w:val="both"/>
    </w:pPr>
    <w:rPr>
      <w:rFonts w:ascii="宋体" w:hAnsi="宋体" w:eastAsia="宋体" w:cs="Times New Roman"/>
      <w:sz w:val="21"/>
      <w:lang w:val="en-US" w:eastAsia="zh-CN" w:bidi="ar-SA"/>
    </w:rPr>
  </w:style>
  <w:style w:type="paragraph" w:customStyle="1" w:styleId="104">
    <w:name w:val="目录 71"/>
    <w:basedOn w:val="79"/>
    <w:semiHidden/>
    <w:qFormat/>
    <w:uiPriority w:val="0"/>
    <w:pPr>
      <w:ind w:left="1260"/>
    </w:pPr>
  </w:style>
  <w:style w:type="paragraph" w:customStyle="1" w:styleId="105">
    <w:name w:val="标准文件_示例×："/>
    <w:basedOn w:val="1"/>
    <w:next w:val="74"/>
    <w:qFormat/>
    <w:uiPriority w:val="0"/>
    <w:pPr>
      <w:widowControl/>
      <w:numPr>
        <w:ilvl w:val="0"/>
        <w:numId w:val="12"/>
      </w:numPr>
      <w:adjustRightInd/>
      <w:spacing w:line="240" w:lineRule="auto"/>
    </w:pPr>
    <w:rPr>
      <w:rFonts w:ascii="宋体" w:hAnsi="Times New Roman"/>
      <w:kern w:val="0"/>
      <w:sz w:val="18"/>
      <w:szCs w:val="18"/>
    </w:rPr>
  </w:style>
  <w:style w:type="paragraph" w:customStyle="1" w:styleId="106">
    <w:name w:val="标准文件_小写罗马数字编号列项"/>
    <w:basedOn w:val="51"/>
    <w:qFormat/>
    <w:uiPriority w:val="0"/>
    <w:pPr>
      <w:numPr>
        <w:ilvl w:val="0"/>
        <w:numId w:val="13"/>
      </w:numPr>
      <w:ind w:firstLine="0" w:firstLineChars="0"/>
    </w:pPr>
    <w:rPr>
      <w:rFonts w:cs="Arial"/>
      <w:szCs w:val="28"/>
    </w:rPr>
  </w:style>
  <w:style w:type="paragraph" w:customStyle="1" w:styleId="107">
    <w:name w:val="标准文件_术语条五"/>
    <w:basedOn w:val="108"/>
    <w:next w:val="51"/>
    <w:qFormat/>
    <w:uiPriority w:val="0"/>
    <w:rPr>
      <w:rFonts w:ascii="黑体" w:hAnsi="黑体" w:eastAsia="黑体" w:cs="黑体"/>
    </w:rPr>
  </w:style>
  <w:style w:type="paragraph" w:customStyle="1" w:styleId="108">
    <w:name w:val="标准文件_五级无标题"/>
    <w:basedOn w:val="109"/>
    <w:qFormat/>
    <w:uiPriority w:val="0"/>
    <w:pPr>
      <w:spacing w:beforeLines="0" w:afterLines="0"/>
      <w:outlineLvl w:val="9"/>
    </w:pPr>
    <w:rPr>
      <w:rFonts w:ascii="宋体" w:eastAsia="宋体"/>
    </w:rPr>
  </w:style>
  <w:style w:type="paragraph" w:customStyle="1" w:styleId="109">
    <w:name w:val="标准文件_五级条标题"/>
    <w:next w:val="51"/>
    <w:qFormat/>
    <w:uiPriority w:val="0"/>
    <w:pPr>
      <w:widowControl w:val="0"/>
      <w:numPr>
        <w:ilvl w:val="6"/>
        <w:numId w:val="4"/>
      </w:numPr>
      <w:spacing w:beforeLines="50" w:afterLines="50"/>
      <w:jc w:val="both"/>
      <w:outlineLvl w:val="5"/>
    </w:pPr>
    <w:rPr>
      <w:rFonts w:ascii="黑体" w:hAnsi="Times New Roman" w:eastAsia="黑体" w:cs="Times New Roman"/>
      <w:sz w:val="21"/>
      <w:lang w:val="en-US" w:eastAsia="zh-CN" w:bidi="ar-SA"/>
    </w:rPr>
  </w:style>
  <w:style w:type="paragraph" w:customStyle="1" w:styleId="110">
    <w:name w:val="标准文件_注后"/>
    <w:basedOn w:val="51"/>
    <w:qFormat/>
    <w:uiPriority w:val="0"/>
    <w:pPr>
      <w:ind w:left="811" w:firstLine="0" w:firstLineChars="0"/>
    </w:pPr>
    <w:rPr>
      <w:sz w:val="18"/>
    </w:rPr>
  </w:style>
  <w:style w:type="paragraph" w:customStyle="1" w:styleId="111">
    <w:name w:val="标准文件_三级条标题"/>
    <w:basedOn w:val="97"/>
    <w:next w:val="51"/>
    <w:qFormat/>
    <w:uiPriority w:val="0"/>
    <w:pPr>
      <w:widowControl/>
      <w:numPr>
        <w:ilvl w:val="4"/>
      </w:numPr>
      <w:outlineLvl w:val="3"/>
    </w:pPr>
  </w:style>
  <w:style w:type="paragraph" w:customStyle="1" w:styleId="112">
    <w:name w:val="目录 91"/>
    <w:basedOn w:val="113"/>
    <w:semiHidden/>
    <w:qFormat/>
    <w:uiPriority w:val="0"/>
    <w:pPr>
      <w:ind w:left="1680"/>
    </w:pPr>
  </w:style>
  <w:style w:type="paragraph" w:customStyle="1" w:styleId="113">
    <w:name w:val="目录 81"/>
    <w:basedOn w:val="104"/>
    <w:semiHidden/>
    <w:qFormat/>
    <w:uiPriority w:val="0"/>
    <w:pPr>
      <w:ind w:left="1470"/>
    </w:pPr>
  </w:style>
  <w:style w:type="paragraph" w:customStyle="1" w:styleId="114">
    <w:name w:val="注×:后续"/>
    <w:basedOn w:val="115"/>
    <w:qFormat/>
    <w:uiPriority w:val="0"/>
    <w:pPr>
      <w:ind w:left="1406" w:leftChars="0" w:hanging="499" w:firstLineChars="0"/>
    </w:pPr>
  </w:style>
  <w:style w:type="paragraph" w:customStyle="1" w:styleId="11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16">
    <w:name w:val="标准文件_编号列项（三级）"/>
    <w:qFormat/>
    <w:uiPriority w:val="0"/>
    <w:pPr>
      <w:numPr>
        <w:ilvl w:val="2"/>
        <w:numId w:val="1"/>
      </w:numPr>
    </w:pPr>
    <w:rPr>
      <w:rFonts w:ascii="宋体" w:hAnsi="Times New Roman" w:eastAsia="宋体" w:cs="Times New Roman"/>
      <w:sz w:val="21"/>
      <w:lang w:val="en-US" w:eastAsia="zh-CN" w:bidi="ar-SA"/>
    </w:rPr>
  </w:style>
  <w:style w:type="paragraph" w:customStyle="1" w:styleId="117">
    <w:name w:val="标准文件_三级项"/>
    <w:basedOn w:val="1"/>
    <w:qFormat/>
    <w:uiPriority w:val="0"/>
    <w:pPr>
      <w:numPr>
        <w:ilvl w:val="2"/>
        <w:numId w:val="14"/>
      </w:numPr>
      <w:spacing w:line="300" w:lineRule="exact"/>
    </w:pPr>
    <w:rPr>
      <w:rFonts w:ascii="Times New Roman" w:hAnsi="Times New Roman"/>
    </w:rPr>
  </w:style>
  <w:style w:type="paragraph" w:customStyle="1" w:styleId="118">
    <w:name w:val="标准文件_一致程度"/>
    <w:basedOn w:val="1"/>
    <w:qFormat/>
    <w:uiPriority w:val="0"/>
    <w:pPr>
      <w:spacing w:line="440" w:lineRule="exact"/>
      <w:jc w:val="center"/>
    </w:pPr>
    <w:rPr>
      <w:sz w:val="28"/>
    </w:rPr>
  </w:style>
  <w:style w:type="paragraph" w:customStyle="1" w:styleId="11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0">
    <w:name w:val="标准文件_封面发布日期"/>
    <w:basedOn w:val="1"/>
    <w:qFormat/>
    <w:uiPriority w:val="0"/>
    <w:pPr>
      <w:spacing w:line="310" w:lineRule="exact"/>
    </w:pPr>
    <w:rPr>
      <w:rFonts w:ascii="黑体" w:eastAsia="黑体"/>
      <w:kern w:val="0"/>
      <w:sz w:val="28"/>
    </w:rPr>
  </w:style>
  <w:style w:type="paragraph" w:customStyle="1" w:styleId="121">
    <w:name w:val="前言标题"/>
    <w:next w:val="1"/>
    <w:qFormat/>
    <w:uiPriority w:val="0"/>
    <w:pPr>
      <w:numPr>
        <w:ilvl w:val="0"/>
        <w:numId w:val="4"/>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22">
    <w:name w:val="标准文件_替换文件编号"/>
    <w:basedOn w:val="68"/>
    <w:qFormat/>
    <w:uiPriority w:val="0"/>
    <w:pPr>
      <w:framePr w:wrap="around"/>
      <w:spacing w:before="57"/>
    </w:pPr>
    <w:rPr>
      <w:sz w:val="21"/>
    </w:rPr>
  </w:style>
  <w:style w:type="paragraph" w:customStyle="1" w:styleId="123">
    <w:name w:val="标准文件_一级项"/>
    <w:qFormat/>
    <w:uiPriority w:val="0"/>
    <w:pPr>
      <w:numPr>
        <w:ilvl w:val="0"/>
        <w:numId w:val="14"/>
      </w:numPr>
    </w:pPr>
    <w:rPr>
      <w:rFonts w:ascii="宋体" w:hAnsi="Times New Roman" w:eastAsia="宋体" w:cs="Times New Roman"/>
      <w:sz w:val="21"/>
      <w:lang w:val="en-US" w:eastAsia="zh-CN" w:bidi="ar-SA"/>
    </w:rPr>
  </w:style>
  <w:style w:type="paragraph" w:customStyle="1" w:styleId="124">
    <w:name w:val="标准文件_数字编号列项（二级）"/>
    <w:qFormat/>
    <w:uiPriority w:val="0"/>
    <w:pPr>
      <w:numPr>
        <w:ilvl w:val="1"/>
        <w:numId w:val="1"/>
      </w:numPr>
      <w:jc w:val="both"/>
    </w:pPr>
    <w:rPr>
      <w:rFonts w:ascii="宋体" w:hAnsi="Times New Roman" w:eastAsia="宋体" w:cs="Times New Roman"/>
      <w:sz w:val="21"/>
      <w:lang w:val="en-US" w:eastAsia="zh-CN" w:bidi="ar-SA"/>
    </w:rPr>
  </w:style>
  <w:style w:type="paragraph" w:customStyle="1" w:styleId="12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126">
    <w:name w:val="标准文件_附录四级条标题"/>
    <w:next w:val="51"/>
    <w:qFormat/>
    <w:uiPriority w:val="0"/>
    <w:pPr>
      <w:widowControl w:val="0"/>
      <w:numPr>
        <w:ilvl w:val="4"/>
        <w:numId w:val="3"/>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127">
    <w:name w:val="标准文件_附录表标号"/>
    <w:basedOn w:val="51"/>
    <w:next w:val="51"/>
    <w:qFormat/>
    <w:uiPriority w:val="0"/>
    <w:pPr>
      <w:numPr>
        <w:ilvl w:val="0"/>
        <w:numId w:val="15"/>
      </w:numPr>
      <w:spacing w:line="14" w:lineRule="exact"/>
      <w:ind w:firstLine="0" w:firstLineChars="0"/>
      <w:jc w:val="center"/>
    </w:pPr>
    <w:rPr>
      <w:rFonts w:eastAsia="黑体"/>
      <w:vanish/>
      <w:sz w:val="2"/>
    </w:rPr>
  </w:style>
  <w:style w:type="paragraph" w:customStyle="1" w:styleId="128">
    <w:name w:val="标准文件_正文表标题"/>
    <w:next w:val="51"/>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29">
    <w:name w:val="标准_四级无标题"/>
    <w:basedOn w:val="130"/>
    <w:next w:val="51"/>
    <w:qFormat/>
    <w:uiPriority w:val="0"/>
    <w:rPr>
      <w:rFonts w:eastAsia="宋体"/>
    </w:rPr>
  </w:style>
  <w:style w:type="paragraph" w:customStyle="1" w:styleId="130">
    <w:name w:val="标准文件_四级条标题"/>
    <w:next w:val="51"/>
    <w:qFormat/>
    <w:uiPriority w:val="0"/>
    <w:pPr>
      <w:widowControl w:val="0"/>
      <w:numPr>
        <w:ilvl w:val="5"/>
        <w:numId w:val="4"/>
      </w:numPr>
      <w:spacing w:beforeLines="50" w:afterLines="50"/>
      <w:jc w:val="both"/>
      <w:outlineLvl w:val="4"/>
    </w:pPr>
    <w:rPr>
      <w:rFonts w:ascii="黑体" w:hAnsi="Times New Roman" w:eastAsia="黑体" w:cs="Times New Roman"/>
      <w:sz w:val="21"/>
      <w:lang w:val="en-US" w:eastAsia="zh-CN" w:bidi="ar-SA"/>
    </w:rPr>
  </w:style>
  <w:style w:type="paragraph" w:customStyle="1" w:styleId="131">
    <w:name w:val="附录三级无标题条"/>
    <w:basedOn w:val="132"/>
    <w:next w:val="51"/>
    <w:qFormat/>
    <w:uiPriority w:val="0"/>
    <w:pPr>
      <w:outlineLvl w:val="4"/>
    </w:pPr>
  </w:style>
  <w:style w:type="paragraph" w:customStyle="1" w:styleId="132">
    <w:name w:val="附录二级无标题条"/>
    <w:basedOn w:val="1"/>
    <w:next w:val="5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标准文件_附录英文标识"/>
    <w:next w:val="13"/>
    <w:qFormat/>
    <w:uiPriority w:val="0"/>
    <w:pPr>
      <w:numPr>
        <w:ilvl w:val="0"/>
        <w:numId w:val="1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134">
    <w:name w:val="列项·"/>
    <w:basedOn w:val="51"/>
    <w:qFormat/>
    <w:uiPriority w:val="0"/>
    <w:pPr>
      <w:tabs>
        <w:tab w:val="left" w:pos="840"/>
      </w:tabs>
    </w:pPr>
  </w:style>
  <w:style w:type="paragraph" w:customStyle="1" w:styleId="135">
    <w:name w:val="标准文件_破折号列项（二级）"/>
    <w:basedOn w:val="136"/>
    <w:qFormat/>
    <w:uiPriority w:val="0"/>
    <w:pPr>
      <w:numPr>
        <w:numId w:val="18"/>
      </w:numPr>
      <w:ind w:left="0" w:firstLine="200"/>
    </w:pPr>
  </w:style>
  <w:style w:type="paragraph" w:customStyle="1" w:styleId="136">
    <w:name w:val="标准文件_破折号列项"/>
    <w:qFormat/>
    <w:uiPriority w:val="0"/>
    <w:pPr>
      <w:numPr>
        <w:ilvl w:val="0"/>
        <w:numId w:val="1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3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8">
    <w:name w:val="标准文件_三级无标题"/>
    <w:basedOn w:val="111"/>
    <w:qFormat/>
    <w:uiPriority w:val="0"/>
    <w:pPr>
      <w:spacing w:beforeLines="0" w:afterLines="0"/>
      <w:outlineLvl w:val="9"/>
    </w:pPr>
    <w:rPr>
      <w:rFonts w:ascii="宋体" w:eastAsia="宋体"/>
    </w:rPr>
  </w:style>
  <w:style w:type="paragraph" w:customStyle="1" w:styleId="139">
    <w:name w:val="标准文件_封面抬头"/>
    <w:basedOn w:val="51"/>
    <w:qFormat/>
    <w:uiPriority w:val="0"/>
    <w:pPr>
      <w:adjustRightInd w:val="0"/>
      <w:spacing w:line="800" w:lineRule="exact"/>
      <w:ind w:firstLine="0" w:firstLineChars="0"/>
      <w:jc w:val="distribute"/>
    </w:pPr>
    <w:rPr>
      <w:rFonts w:ascii="黑体" w:eastAsia="黑体"/>
      <w:b/>
      <w:sz w:val="64"/>
    </w:rPr>
  </w:style>
  <w:style w:type="paragraph" w:customStyle="1" w:styleId="14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43">
    <w:name w:val="标准文件_英文注×："/>
    <w:basedOn w:val="1"/>
    <w:qFormat/>
    <w:uiPriority w:val="0"/>
    <w:pPr>
      <w:numPr>
        <w:ilvl w:val="0"/>
        <w:numId w:val="20"/>
      </w:numPr>
      <w:tabs>
        <w:tab w:val="left" w:pos="210"/>
      </w:tabs>
      <w:autoSpaceDE w:val="0"/>
      <w:autoSpaceDN w:val="0"/>
      <w:spacing w:line="240" w:lineRule="auto"/>
    </w:pPr>
    <w:rPr>
      <w:rFonts w:ascii="宋体" w:hAnsi="宋体"/>
      <w:kern w:val="0"/>
      <w:szCs w:val="20"/>
    </w:rPr>
  </w:style>
  <w:style w:type="paragraph" w:customStyle="1" w:styleId="144">
    <w:name w:val="标准文件_附录标识"/>
    <w:next w:val="51"/>
    <w:qFormat/>
    <w:uiPriority w:val="0"/>
    <w:pPr>
      <w:numPr>
        <w:ilvl w:val="0"/>
        <w:numId w:val="3"/>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145">
    <w:name w:val="标准文件_术语条三"/>
    <w:basedOn w:val="138"/>
    <w:next w:val="51"/>
    <w:qFormat/>
    <w:uiPriority w:val="0"/>
    <w:rPr>
      <w:rFonts w:ascii="黑体" w:hAnsi="黑体" w:eastAsia="黑体" w:cs="黑体"/>
    </w:rPr>
  </w:style>
  <w:style w:type="paragraph" w:customStyle="1" w:styleId="146">
    <w:name w:val="标准文件_前言、引言标题"/>
    <w:next w:val="1"/>
    <w:qFormat/>
    <w:uiPriority w:val="0"/>
    <w:pPr>
      <w:numPr>
        <w:ilvl w:val="0"/>
        <w:numId w:val="2"/>
      </w:numPr>
      <w:shd w:val="clear" w:color="FFFFFF" w:fill="FFFFFF"/>
      <w:spacing w:before="680" w:afterLines="150"/>
      <w:ind w:left="0" w:firstLine="0"/>
      <w:jc w:val="center"/>
      <w:outlineLvl w:val="0"/>
    </w:pPr>
    <w:rPr>
      <w:rFonts w:ascii="黑体" w:hAnsi="黑体" w:eastAsia="黑体" w:cs="Times New Roman"/>
      <w:sz w:val="32"/>
      <w:lang w:val="en-US" w:eastAsia="zh-CN" w:bidi="ar-SA"/>
    </w:rPr>
  </w:style>
  <w:style w:type="paragraph" w:customStyle="1" w:styleId="147">
    <w:name w:val="标准文件_附录表标题"/>
    <w:next w:val="51"/>
    <w:qFormat/>
    <w:uiPriority w:val="0"/>
    <w:pPr>
      <w:numPr>
        <w:ilvl w:val="1"/>
        <w:numId w:val="1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148">
    <w:name w:val="标准文件_封面标准分类号"/>
    <w:basedOn w:val="1"/>
    <w:qFormat/>
    <w:uiPriority w:val="0"/>
    <w:rPr>
      <w:rFonts w:ascii="黑体" w:eastAsia="黑体"/>
      <w:b/>
      <w:kern w:val="0"/>
      <w:sz w:val="28"/>
    </w:rPr>
  </w:style>
  <w:style w:type="paragraph" w:customStyle="1" w:styleId="1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50">
    <w:name w:val="标准文件_引言三级条标题"/>
    <w:basedOn w:val="51"/>
    <w:next w:val="51"/>
    <w:qFormat/>
    <w:uiPriority w:val="0"/>
    <w:pPr>
      <w:numPr>
        <w:ilvl w:val="3"/>
        <w:numId w:val="2"/>
      </w:numPr>
      <w:spacing w:beforeLines="50" w:afterLines="50"/>
      <w:ind w:firstLineChars="0"/>
    </w:pPr>
    <w:rPr>
      <w:rFonts w:ascii="黑体" w:eastAsia="黑体"/>
    </w:rPr>
  </w:style>
  <w:style w:type="paragraph" w:customStyle="1" w:styleId="15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52">
    <w:name w:val="标准文件_索引项"/>
    <w:basedOn w:val="51"/>
    <w:next w:val="51"/>
    <w:qFormat/>
    <w:uiPriority w:val="0"/>
    <w:pPr>
      <w:tabs>
        <w:tab w:val="right" w:leader="dot" w:pos="9356"/>
      </w:tabs>
      <w:ind w:left="210" w:hanging="210" w:firstLineChars="0"/>
      <w:jc w:val="left"/>
    </w:pPr>
  </w:style>
  <w:style w:type="paragraph" w:customStyle="1" w:styleId="153">
    <w:name w:val="标准文件_示例后"/>
    <w:basedOn w:val="51"/>
    <w:qFormat/>
    <w:uiPriority w:val="0"/>
    <w:pPr>
      <w:ind w:left="964" w:firstLine="0" w:firstLineChars="0"/>
    </w:pPr>
    <w:rPr>
      <w:sz w:val="18"/>
    </w:rPr>
  </w:style>
  <w:style w:type="paragraph" w:customStyle="1" w:styleId="154">
    <w:name w:val="标准文件_文件名称"/>
    <w:basedOn w:val="51"/>
    <w:next w:val="51"/>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55">
    <w:name w:val="一级无标题条"/>
    <w:basedOn w:val="1"/>
    <w:qFormat/>
    <w:uiPriority w:val="0"/>
    <w:pPr>
      <w:numPr>
        <w:ilvl w:val="2"/>
        <w:numId w:val="8"/>
      </w:numPr>
      <w:adjustRightInd/>
      <w:spacing w:before="10" w:after="10" w:line="240" w:lineRule="auto"/>
    </w:pPr>
    <w:rPr>
      <w:rFonts w:ascii="宋体" w:hAnsi="宋体"/>
      <w:szCs w:val="24"/>
    </w:rPr>
  </w:style>
  <w:style w:type="paragraph" w:customStyle="1" w:styleId="156">
    <w:name w:val="目录 41"/>
    <w:basedOn w:val="1"/>
    <w:next w:val="1"/>
    <w:semiHidden/>
    <w:qFormat/>
    <w:uiPriority w:val="0"/>
    <w:pPr>
      <w:adjustRightInd/>
      <w:spacing w:line="240" w:lineRule="auto"/>
      <w:jc w:val="left"/>
    </w:pPr>
  </w:style>
  <w:style w:type="paragraph" w:customStyle="1" w:styleId="157">
    <w:name w:val="标准文件_术语条一"/>
    <w:basedOn w:val="81"/>
    <w:next w:val="51"/>
    <w:qFormat/>
    <w:uiPriority w:val="0"/>
    <w:rPr>
      <w:rFonts w:ascii="黑体" w:hAnsi="黑体" w:eastAsia="黑体" w:cs="黑体"/>
    </w:rPr>
  </w:style>
  <w:style w:type="paragraph" w:customStyle="1" w:styleId="15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59">
    <w:name w:val="标准文件_公式后的破折号"/>
    <w:basedOn w:val="51"/>
    <w:next w:val="51"/>
    <w:qFormat/>
    <w:uiPriority w:val="0"/>
    <w:pPr>
      <w:ind w:left="488" w:leftChars="200" w:hanging="289" w:hangingChars="290"/>
    </w:pPr>
  </w:style>
  <w:style w:type="paragraph" w:customStyle="1" w:styleId="160">
    <w:name w:val="标准文件_目录标题"/>
    <w:basedOn w:val="1"/>
    <w:qFormat/>
    <w:uiPriority w:val="0"/>
    <w:pPr>
      <w:spacing w:before="680" w:afterLines="150" w:line="240" w:lineRule="auto"/>
      <w:jc w:val="center"/>
    </w:pPr>
    <w:rPr>
      <w:rFonts w:ascii="黑体" w:hAnsi="黑体" w:eastAsia="黑体"/>
      <w:sz w:val="32"/>
    </w:rPr>
  </w:style>
  <w:style w:type="paragraph" w:customStyle="1" w:styleId="161">
    <w:name w:val="标准文件_英文图表脚注"/>
    <w:basedOn w:val="162"/>
    <w:qFormat/>
    <w:uiPriority w:val="0"/>
    <w:pPr>
      <w:widowControl/>
      <w:adjustRightInd/>
      <w:snapToGrid/>
      <w:spacing w:line="240" w:lineRule="auto"/>
      <w:ind w:left="79" w:hanging="79" w:hangingChars="80"/>
    </w:pPr>
    <w:rPr>
      <w:rFonts w:ascii="宋体" w:hAnsi="宋体"/>
    </w:rPr>
  </w:style>
  <w:style w:type="paragraph" w:customStyle="1" w:styleId="162">
    <w:name w:val="标准文件_标准正文"/>
    <w:basedOn w:val="1"/>
    <w:next w:val="51"/>
    <w:qFormat/>
    <w:uiPriority w:val="0"/>
    <w:pPr>
      <w:snapToGrid w:val="0"/>
      <w:ind w:firstLine="200" w:firstLineChars="200"/>
    </w:pPr>
    <w:rPr>
      <w:kern w:val="0"/>
    </w:rPr>
  </w:style>
  <w:style w:type="paragraph" w:customStyle="1" w:styleId="163">
    <w:name w:val="标准文件_引言一级条标题"/>
    <w:basedOn w:val="51"/>
    <w:next w:val="51"/>
    <w:qFormat/>
    <w:uiPriority w:val="0"/>
    <w:pPr>
      <w:numPr>
        <w:ilvl w:val="1"/>
        <w:numId w:val="2"/>
      </w:numPr>
      <w:spacing w:beforeLines="50" w:afterLines="50"/>
      <w:ind w:firstLineChars="0"/>
    </w:pPr>
    <w:rPr>
      <w:rFonts w:ascii="黑体" w:eastAsia="黑体"/>
    </w:rPr>
  </w:style>
  <w:style w:type="paragraph" w:customStyle="1" w:styleId="164">
    <w:name w:val="标准文件_页眉偶数页"/>
    <w:basedOn w:val="165"/>
    <w:next w:val="1"/>
    <w:qFormat/>
    <w:uiPriority w:val="0"/>
    <w:pPr>
      <w:tabs>
        <w:tab w:val="center" w:pos="4154"/>
        <w:tab w:val="right" w:pos="8306"/>
      </w:tabs>
      <w:jc w:val="left"/>
    </w:pPr>
  </w:style>
  <w:style w:type="paragraph" w:customStyle="1" w:styleId="1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166">
    <w:name w:val="目录 31"/>
    <w:basedOn w:val="1"/>
    <w:next w:val="1"/>
    <w:semiHidden/>
    <w:qFormat/>
    <w:uiPriority w:val="0"/>
    <w:pPr>
      <w:spacing w:line="240" w:lineRule="auto"/>
    </w:pPr>
    <w:rPr>
      <w:rFonts w:ascii="宋体" w:hAnsi="宋体"/>
      <w:iCs/>
    </w:rPr>
  </w:style>
  <w:style w:type="paragraph" w:customStyle="1" w:styleId="167">
    <w:name w:val="附录五级无标题条"/>
    <w:basedOn w:val="168"/>
    <w:next w:val="51"/>
    <w:qFormat/>
    <w:uiPriority w:val="0"/>
    <w:pPr>
      <w:outlineLvl w:val="6"/>
    </w:pPr>
  </w:style>
  <w:style w:type="paragraph" w:customStyle="1" w:styleId="168">
    <w:name w:val="附录四级无标题条"/>
    <w:basedOn w:val="131"/>
    <w:next w:val="51"/>
    <w:qFormat/>
    <w:uiPriority w:val="0"/>
    <w:pPr>
      <w:outlineLvl w:val="5"/>
    </w:pPr>
  </w:style>
  <w:style w:type="paragraph" w:customStyle="1" w:styleId="169">
    <w:name w:val="标准文件_附录图标号"/>
    <w:basedOn w:val="51"/>
    <w:next w:val="51"/>
    <w:qFormat/>
    <w:uiPriority w:val="0"/>
    <w:pPr>
      <w:numPr>
        <w:ilvl w:val="0"/>
        <w:numId w:val="10"/>
      </w:numPr>
      <w:spacing w:line="14" w:lineRule="exact"/>
      <w:ind w:firstLine="0" w:firstLineChars="0"/>
      <w:jc w:val="center"/>
    </w:pPr>
    <w:rPr>
      <w:rFonts w:ascii="黑体" w:hAnsi="黑体" w:eastAsia="黑体"/>
      <w:vanish/>
      <w:sz w:val="2"/>
      <w:szCs w:val="21"/>
    </w:rPr>
  </w:style>
  <w:style w:type="paragraph" w:customStyle="1" w:styleId="170">
    <w:name w:val="标准文件_四级无标题"/>
    <w:basedOn w:val="130"/>
    <w:qFormat/>
    <w:uiPriority w:val="0"/>
    <w:pPr>
      <w:spacing w:beforeLines="0" w:afterLines="0"/>
      <w:outlineLvl w:val="9"/>
    </w:pPr>
    <w:rPr>
      <w:rFonts w:ascii="宋体" w:hAnsi="黑体" w:eastAsia="宋体"/>
      <w:szCs w:val="52"/>
    </w:rPr>
  </w:style>
  <w:style w:type="paragraph" w:customStyle="1" w:styleId="171">
    <w:name w:val="标准文件_正文公式"/>
    <w:basedOn w:val="1"/>
    <w:next w:val="162"/>
    <w:qFormat/>
    <w:uiPriority w:val="0"/>
    <w:pPr>
      <w:tabs>
        <w:tab w:val="center" w:pos="4678"/>
        <w:tab w:val="right" w:leader="middleDot" w:pos="9356"/>
      </w:tabs>
      <w:spacing w:line="240" w:lineRule="auto"/>
    </w:pPr>
    <w:rPr>
      <w:rFonts w:ascii="宋体" w:hAnsi="宋体"/>
    </w:rPr>
  </w:style>
  <w:style w:type="paragraph" w:customStyle="1" w:styleId="172">
    <w:name w:val="三级无标题条"/>
    <w:basedOn w:val="1"/>
    <w:qFormat/>
    <w:uiPriority w:val="0"/>
    <w:pPr>
      <w:numPr>
        <w:ilvl w:val="4"/>
        <w:numId w:val="8"/>
      </w:numPr>
      <w:adjustRightInd/>
      <w:spacing w:line="240" w:lineRule="auto"/>
    </w:pPr>
    <w:rPr>
      <w:rFonts w:ascii="宋体" w:hAnsi="宋体"/>
      <w:szCs w:val="24"/>
    </w:rPr>
  </w:style>
  <w:style w:type="paragraph" w:customStyle="1" w:styleId="173">
    <w:name w:val="标准书眉一"/>
    <w:qFormat/>
    <w:uiPriority w:val="0"/>
    <w:pPr>
      <w:jc w:val="both"/>
    </w:pPr>
    <w:rPr>
      <w:rFonts w:ascii="Times New Roman" w:hAnsi="Times New Roman" w:eastAsia="宋体" w:cs="Times New Roman"/>
      <w:lang w:val="en-US" w:eastAsia="zh-CN" w:bidi="ar-SA"/>
    </w:rPr>
  </w:style>
  <w:style w:type="paragraph" w:customStyle="1" w:styleId="174">
    <w:name w:val="标准文件_索引标题"/>
    <w:basedOn w:val="175"/>
    <w:next w:val="51"/>
    <w:qFormat/>
    <w:uiPriority w:val="0"/>
  </w:style>
  <w:style w:type="paragraph" w:customStyle="1" w:styleId="175">
    <w:name w:val="标准文件_参考文献标题"/>
    <w:basedOn w:val="1"/>
    <w:next w:val="1"/>
    <w:uiPriority w:val="0"/>
    <w:pPr>
      <w:widowControl/>
      <w:shd w:val="clear" w:color="FFFFFF" w:fill="FFFFFF"/>
      <w:adjustRightInd/>
      <w:spacing w:before="680" w:afterLines="50" w:line="240" w:lineRule="auto"/>
      <w:jc w:val="center"/>
      <w:outlineLvl w:val="0"/>
    </w:pPr>
    <w:rPr>
      <w:rFonts w:ascii="黑体" w:hAnsi="黑体" w:eastAsia="黑体"/>
      <w:kern w:val="0"/>
    </w:rPr>
  </w:style>
  <w:style w:type="paragraph" w:customStyle="1" w:styleId="176">
    <w:name w:val="附录性质"/>
    <w:basedOn w:val="1"/>
    <w:qFormat/>
    <w:uiPriority w:val="0"/>
    <w:pPr>
      <w:widowControl/>
      <w:adjustRightInd/>
      <w:jc w:val="center"/>
    </w:pPr>
    <w:rPr>
      <w:rFonts w:ascii="黑体" w:eastAsia="黑体"/>
    </w:rPr>
  </w:style>
  <w:style w:type="paragraph" w:customStyle="1" w:styleId="177">
    <w:name w:val="标准文件_索引字母"/>
    <w:next w:val="51"/>
    <w:qFormat/>
    <w:uiPriority w:val="0"/>
    <w:pPr>
      <w:jc w:val="center"/>
    </w:pPr>
    <w:rPr>
      <w:rFonts w:ascii="宋体" w:hAnsi="宋体" w:eastAsia="Times New Roman" w:cs="Times New Roman"/>
      <w:b/>
      <w:kern w:val="2"/>
      <w:sz w:val="21"/>
      <w:lang w:val="en-US" w:eastAsia="zh-CN" w:bidi="ar-SA"/>
    </w:rPr>
  </w:style>
  <w:style w:type="paragraph" w:customStyle="1" w:styleId="178">
    <w:name w:val="附录图"/>
    <w:next w:val="51"/>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79">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8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181">
    <w:name w:val="标准文件_一级项2"/>
    <w:basedOn w:val="51"/>
    <w:qFormat/>
    <w:uiPriority w:val="0"/>
    <w:pPr>
      <w:numPr>
        <w:ilvl w:val="0"/>
        <w:numId w:val="21"/>
      </w:numPr>
      <w:spacing w:line="300" w:lineRule="exact"/>
      <w:ind w:left="1271" w:hanging="420" w:firstLineChars="0"/>
    </w:pPr>
    <w:rPr>
      <w:rFonts w:ascii="Times New Roman"/>
    </w:rPr>
  </w:style>
  <w:style w:type="paragraph" w:customStyle="1" w:styleId="182">
    <w:name w:val="目录 51"/>
    <w:basedOn w:val="1"/>
    <w:next w:val="1"/>
    <w:semiHidden/>
    <w:uiPriority w:val="0"/>
    <w:pPr>
      <w:spacing w:line="240" w:lineRule="auto"/>
    </w:pPr>
    <w:rPr>
      <w:rFonts w:ascii="宋体" w:hAnsi="宋体"/>
    </w:rPr>
  </w:style>
  <w:style w:type="paragraph" w:customStyle="1" w:styleId="183">
    <w:name w:val="发布部门"/>
    <w:next w:val="51"/>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84">
    <w:name w:val="标准文件_目次、标准名称标题"/>
    <w:basedOn w:val="146"/>
    <w:next w:val="51"/>
    <w:qFormat/>
    <w:uiPriority w:val="0"/>
    <w:pPr>
      <w:spacing w:line="460" w:lineRule="exact"/>
    </w:pPr>
  </w:style>
  <w:style w:type="paragraph" w:customStyle="1" w:styleId="185">
    <w:name w:val="其他发布日期"/>
    <w:basedOn w:val="91"/>
    <w:qFormat/>
    <w:uiPriority w:val="0"/>
    <w:pPr>
      <w:framePr w:w="3997" w:h="471" w:hRule="exact" w:hSpace="0" w:vSpace="181" w:wrap="around" w:vAnchor="page" w:hAnchor="page" w:x="1419" w:y="14097"/>
    </w:pPr>
  </w:style>
  <w:style w:type="paragraph" w:customStyle="1" w:styleId="186">
    <w:name w:val="标准文件_英文注："/>
    <w:basedOn w:val="1"/>
    <w:next w:val="51"/>
    <w:qFormat/>
    <w:uiPriority w:val="0"/>
    <w:pPr>
      <w:numPr>
        <w:ilvl w:val="0"/>
        <w:numId w:val="22"/>
      </w:numPr>
      <w:tabs>
        <w:tab w:val="left" w:pos="420"/>
      </w:tabs>
      <w:autoSpaceDE w:val="0"/>
      <w:autoSpaceDN w:val="0"/>
      <w:spacing w:line="240" w:lineRule="auto"/>
    </w:pPr>
    <w:rPr>
      <w:rFonts w:ascii="宋体" w:hAnsi="宋体"/>
      <w:kern w:val="0"/>
      <w:sz w:val="18"/>
      <w:szCs w:val="20"/>
    </w:rPr>
  </w:style>
  <w:style w:type="paragraph" w:customStyle="1" w:styleId="187">
    <w:name w:val="标准文件_ICS"/>
    <w:basedOn w:val="1"/>
    <w:qFormat/>
    <w:uiPriority w:val="0"/>
    <w:pPr>
      <w:spacing w:line="0" w:lineRule="atLeast"/>
    </w:pPr>
    <w:rPr>
      <w:rFonts w:ascii="黑体" w:hAnsi="宋体" w:eastAsia="黑体"/>
    </w:rPr>
  </w:style>
  <w:style w:type="paragraph" w:customStyle="1" w:styleId="18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89">
    <w:name w:val="附录一级无标题条"/>
    <w:basedOn w:val="190"/>
    <w:next w:val="51"/>
    <w:qFormat/>
    <w:uiPriority w:val="0"/>
    <w:pPr>
      <w:autoSpaceDN w:val="0"/>
      <w:outlineLvl w:val="2"/>
    </w:pPr>
    <w:rPr>
      <w:rFonts w:ascii="宋体" w:hAnsi="宋体" w:eastAsia="宋体"/>
    </w:rPr>
  </w:style>
  <w:style w:type="paragraph" w:customStyle="1" w:styleId="190">
    <w:name w:val="标准文件_附录章标题"/>
    <w:next w:val="5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91">
    <w:name w:val="标准文件_注×："/>
    <w:qFormat/>
    <w:uiPriority w:val="0"/>
    <w:pPr>
      <w:widowControl w:val="0"/>
      <w:numPr>
        <w:ilvl w:val="0"/>
        <w:numId w:val="23"/>
      </w:numPr>
      <w:autoSpaceDE w:val="0"/>
      <w:autoSpaceDN w:val="0"/>
      <w:jc w:val="both"/>
    </w:pPr>
    <w:rPr>
      <w:rFonts w:ascii="宋体" w:hAnsi="Times New Roman" w:eastAsia="宋体" w:cs="Times New Roman"/>
      <w:sz w:val="18"/>
      <w:szCs w:val="18"/>
      <w:lang w:val="en-US" w:eastAsia="zh-CN" w:bidi="ar-SA"/>
    </w:rPr>
  </w:style>
  <w:style w:type="paragraph" w:customStyle="1" w:styleId="192">
    <w:name w:val="标准文件_正文英文表标题"/>
    <w:next w:val="51"/>
    <w:uiPriority w:val="0"/>
    <w:pPr>
      <w:numPr>
        <w:ilvl w:val="0"/>
        <w:numId w:val="24"/>
      </w:numPr>
      <w:jc w:val="center"/>
    </w:pPr>
    <w:rPr>
      <w:rFonts w:ascii="黑体" w:hAnsi="Times New Roman" w:eastAsia="黑体" w:cs="Times New Roman"/>
      <w:sz w:val="21"/>
      <w:lang w:val="en-US" w:eastAsia="zh-CN" w:bidi="ar-SA"/>
    </w:rPr>
  </w:style>
  <w:style w:type="paragraph" w:customStyle="1" w:styleId="193">
    <w:name w:val="标准文件_术语条四"/>
    <w:basedOn w:val="170"/>
    <w:next w:val="51"/>
    <w:qFormat/>
    <w:uiPriority w:val="0"/>
    <w:rPr>
      <w:rFonts w:ascii="黑体" w:eastAsia="黑体" w:cs="黑体"/>
    </w:rPr>
  </w:style>
  <w:style w:type="paragraph" w:customStyle="1" w:styleId="194">
    <w:name w:val="标准文件_引言五级无标题"/>
    <w:basedOn w:val="195"/>
    <w:next w:val="51"/>
    <w:qFormat/>
    <w:uiPriority w:val="0"/>
    <w:pPr>
      <w:spacing w:beforeLines="0" w:afterLines="0" w:line="276" w:lineRule="auto"/>
    </w:pPr>
    <w:rPr>
      <w:rFonts w:ascii="宋体" w:eastAsia="宋体"/>
    </w:rPr>
  </w:style>
  <w:style w:type="paragraph" w:customStyle="1" w:styleId="195">
    <w:name w:val="标准文件_引言五级条标题"/>
    <w:basedOn w:val="51"/>
    <w:next w:val="51"/>
    <w:qFormat/>
    <w:uiPriority w:val="0"/>
    <w:pPr>
      <w:numPr>
        <w:ilvl w:val="5"/>
        <w:numId w:val="2"/>
      </w:numPr>
      <w:spacing w:beforeLines="50" w:afterLines="50"/>
      <w:ind w:firstLineChars="0"/>
    </w:pPr>
    <w:rPr>
      <w:rFonts w:ascii="黑体" w:eastAsia="黑体"/>
    </w:rPr>
  </w:style>
  <w:style w:type="paragraph" w:customStyle="1" w:styleId="196">
    <w:name w:val="标准文件_方框数字列项"/>
    <w:basedOn w:val="51"/>
    <w:qFormat/>
    <w:uiPriority w:val="0"/>
    <w:pPr>
      <w:numPr>
        <w:ilvl w:val="0"/>
        <w:numId w:val="25"/>
      </w:numPr>
      <w:ind w:firstLine="0" w:firstLineChars="0"/>
    </w:pPr>
  </w:style>
  <w:style w:type="paragraph" w:customStyle="1" w:styleId="197">
    <w:name w:val="标准文件_二级项"/>
    <w:uiPriority w:val="0"/>
    <w:rPr>
      <w:rFonts w:ascii="宋体" w:hAnsi="Times New Roman" w:eastAsia="宋体" w:cs="Times New Roman"/>
      <w:sz w:val="21"/>
      <w:lang w:val="en-US" w:eastAsia="zh-CN" w:bidi="ar-SA"/>
    </w:rPr>
  </w:style>
  <w:style w:type="paragraph" w:customStyle="1" w:styleId="198">
    <w:name w:val="标准文件_标准部门"/>
    <w:basedOn w:val="1"/>
    <w:qFormat/>
    <w:uiPriority w:val="0"/>
    <w:pPr>
      <w:jc w:val="center"/>
    </w:pPr>
    <w:rPr>
      <w:rFonts w:ascii="黑体" w:eastAsia="黑体"/>
      <w:kern w:val="0"/>
      <w:sz w:val="44"/>
    </w:rPr>
  </w:style>
  <w:style w:type="paragraph" w:customStyle="1" w:styleId="199">
    <w:name w:val="标准文件_附录公式"/>
    <w:basedOn w:val="162"/>
    <w:next w:val="162"/>
    <w:uiPriority w:val="0"/>
    <w:pPr>
      <w:tabs>
        <w:tab w:val="center" w:pos="4678"/>
        <w:tab w:val="right" w:leader="middleDot" w:pos="9356"/>
      </w:tabs>
      <w:spacing w:line="240" w:lineRule="auto"/>
      <w:ind w:right="-51" w:firstLine="0" w:firstLineChars="0"/>
    </w:pPr>
    <w:rPr>
      <w:rFonts w:ascii="宋体" w:hAnsi="宋体"/>
    </w:rPr>
  </w:style>
  <w:style w:type="paragraph" w:customStyle="1" w:styleId="200">
    <w:name w:val="图表脚注说明"/>
    <w:basedOn w:val="1"/>
    <w:next w:val="51"/>
    <w:qFormat/>
    <w:uiPriority w:val="0"/>
    <w:pPr>
      <w:numPr>
        <w:ilvl w:val="0"/>
        <w:numId w:val="26"/>
      </w:numPr>
      <w:adjustRightInd/>
      <w:spacing w:line="240" w:lineRule="auto"/>
      <w:ind w:left="783"/>
    </w:pPr>
    <w:rPr>
      <w:rFonts w:ascii="宋体" w:hAnsi="Times New Roman"/>
      <w:sz w:val="18"/>
      <w:szCs w:val="18"/>
    </w:rPr>
  </w:style>
  <w:style w:type="paragraph" w:customStyle="1" w:styleId="201">
    <w:name w:val="标准文件_表格"/>
    <w:basedOn w:val="51"/>
    <w:qFormat/>
    <w:uiPriority w:val="0"/>
    <w:pPr>
      <w:ind w:firstLine="0" w:firstLineChars="0"/>
      <w:jc w:val="center"/>
    </w:pPr>
    <w:rPr>
      <w:sz w:val="18"/>
    </w:rPr>
  </w:style>
  <w:style w:type="paragraph" w:customStyle="1" w:styleId="202">
    <w:name w:val="标准文件_封面密级"/>
    <w:basedOn w:val="1"/>
    <w:qFormat/>
    <w:uiPriority w:val="0"/>
    <w:rPr>
      <w:rFonts w:eastAsia="黑体"/>
      <w:sz w:val="32"/>
    </w:rPr>
  </w:style>
  <w:style w:type="paragraph" w:customStyle="1" w:styleId="203">
    <w:name w:val="标准文件_大写罗马数字编号列项"/>
    <w:basedOn w:val="51"/>
    <w:uiPriority w:val="0"/>
    <w:pPr>
      <w:numPr>
        <w:ilvl w:val="0"/>
        <w:numId w:val="27"/>
      </w:numPr>
      <w:ind w:firstLine="0" w:firstLineChars="0"/>
    </w:pPr>
    <w:rPr>
      <w:rFonts w:ascii="Times New Roman" w:cs="Arial"/>
      <w:szCs w:val="28"/>
    </w:rPr>
  </w:style>
  <w:style w:type="paragraph" w:customStyle="1" w:styleId="204">
    <w:name w:val="标准文件_参考文献条目"/>
    <w:qFormat/>
    <w:uiPriority w:val="0"/>
    <w:pPr>
      <w:numPr>
        <w:ilvl w:val="0"/>
        <w:numId w:val="28"/>
      </w:numPr>
    </w:pPr>
    <w:rPr>
      <w:rFonts w:ascii="宋体" w:hAnsi="Times New Roman" w:eastAsia="宋体" w:cs="Times New Roman"/>
      <w:lang w:val="en-US" w:eastAsia="zh-CN" w:bidi="ar-SA"/>
    </w:rPr>
  </w:style>
  <w:style w:type="paragraph" w:customStyle="1" w:styleId="205">
    <w:name w:val="标准文件_版本"/>
    <w:basedOn w:val="162"/>
    <w:qFormat/>
    <w:uiPriority w:val="0"/>
    <w:pPr>
      <w:adjustRightInd/>
      <w:snapToGrid/>
      <w:ind w:firstLine="0" w:firstLineChars="0"/>
    </w:pPr>
    <w:rPr>
      <w:rFonts w:ascii="宋体" w:hAnsi="宋体"/>
      <w:kern w:val="2"/>
    </w:rPr>
  </w:style>
  <w:style w:type="paragraph" w:customStyle="1" w:styleId="206">
    <w:name w:val="标准文件_引言三级无标题"/>
    <w:basedOn w:val="150"/>
    <w:next w:val="51"/>
    <w:qFormat/>
    <w:uiPriority w:val="0"/>
    <w:pPr>
      <w:spacing w:beforeLines="0" w:afterLines="0" w:line="276" w:lineRule="auto"/>
    </w:pPr>
    <w:rPr>
      <w:rFonts w:ascii="宋体" w:eastAsia="宋体"/>
    </w:rPr>
  </w:style>
  <w:style w:type="paragraph" w:customStyle="1" w:styleId="207">
    <w:name w:val="标准文件_附录标题"/>
    <w:basedOn w:val="144"/>
    <w:qFormat/>
    <w:uiPriority w:val="0"/>
    <w:pPr>
      <w:numPr>
        <w:numId w:val="0"/>
      </w:numPr>
      <w:spacing w:after="280"/>
      <w:outlineLvl w:val="9"/>
    </w:pPr>
  </w:style>
  <w:style w:type="paragraph" w:customStyle="1" w:styleId="20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09">
    <w:name w:val="标准文件_正文英文图标题"/>
    <w:next w:val="51"/>
    <w:qFormat/>
    <w:uiPriority w:val="0"/>
    <w:pPr>
      <w:numPr>
        <w:ilvl w:val="0"/>
        <w:numId w:val="29"/>
      </w:numPr>
      <w:jc w:val="center"/>
    </w:pPr>
    <w:rPr>
      <w:rFonts w:ascii="黑体" w:hAnsi="Times New Roman" w:eastAsia="黑体" w:cs="Times New Roman"/>
      <w:sz w:val="21"/>
      <w:lang w:val="en-US" w:eastAsia="zh-CN" w:bidi="ar-SA"/>
    </w:rPr>
  </w:style>
  <w:style w:type="paragraph" w:customStyle="1" w:styleId="210">
    <w:name w:val="标准文件_附录二级无标题"/>
    <w:basedOn w:val="66"/>
    <w:qFormat/>
    <w:uiPriority w:val="0"/>
    <w:pPr>
      <w:spacing w:beforeLines="0" w:afterLines="0" w:line="276" w:lineRule="auto"/>
      <w:outlineLvl w:val="9"/>
    </w:pPr>
    <w:rPr>
      <w:rFonts w:ascii="宋体" w:eastAsia="宋体"/>
    </w:rPr>
  </w:style>
  <w:style w:type="paragraph" w:customStyle="1" w:styleId="211">
    <w:name w:val="标准文件_注X后"/>
    <w:basedOn w:val="51"/>
    <w:qFormat/>
    <w:uiPriority w:val="0"/>
    <w:pPr>
      <w:ind w:left="811" w:firstLine="0" w:firstLineChars="0"/>
    </w:pPr>
    <w:rPr>
      <w:sz w:val="18"/>
    </w:rPr>
  </w:style>
  <w:style w:type="paragraph" w:customStyle="1" w:styleId="21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213">
    <w:name w:val="目录 21"/>
    <w:basedOn w:val="1"/>
    <w:next w:val="1"/>
    <w:semiHidden/>
    <w:qFormat/>
    <w:uiPriority w:val="0"/>
    <w:pPr>
      <w:adjustRightInd/>
      <w:spacing w:line="240" w:lineRule="auto"/>
      <w:jc w:val="left"/>
    </w:pPr>
    <w:rPr>
      <w:bCs/>
      <w:iCs/>
    </w:rPr>
  </w:style>
  <w:style w:type="paragraph" w:customStyle="1" w:styleId="214">
    <w:name w:val="标准文件_附录前"/>
    <w:next w:val="5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215">
    <w:name w:val="其他发布部门"/>
    <w:basedOn w:val="183"/>
    <w:qFormat/>
    <w:uiPriority w:val="0"/>
    <w:pPr>
      <w:framePr w:wrap="around"/>
      <w:spacing w:line="0" w:lineRule="atLeast"/>
    </w:pPr>
    <w:rPr>
      <w:rFonts w:ascii="黑体" w:eastAsia="黑体"/>
      <w:b w:val="0"/>
    </w:rPr>
  </w:style>
  <w:style w:type="paragraph" w:customStyle="1" w:styleId="2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7">
    <w:name w:val="标准文件_封面标准名称"/>
    <w:basedOn w:val="1"/>
    <w:qFormat/>
    <w:uiPriority w:val="0"/>
    <w:pPr>
      <w:spacing w:line="240" w:lineRule="auto"/>
      <w:jc w:val="center"/>
    </w:pPr>
    <w:rPr>
      <w:rFonts w:ascii="黑体" w:eastAsia="黑体"/>
      <w:kern w:val="0"/>
      <w:sz w:val="52"/>
    </w:rPr>
  </w:style>
  <w:style w:type="paragraph" w:customStyle="1" w:styleId="218">
    <w:name w:val="标准文件_附录四级无标题"/>
    <w:basedOn w:val="126"/>
    <w:qFormat/>
    <w:uiPriority w:val="0"/>
    <w:pPr>
      <w:spacing w:beforeLines="0" w:afterLines="0" w:line="276" w:lineRule="auto"/>
      <w:outlineLvl w:val="9"/>
    </w:pPr>
    <w:rPr>
      <w:rFonts w:ascii="宋体" w:eastAsia="宋体"/>
    </w:rPr>
  </w:style>
  <w:style w:type="paragraph" w:customStyle="1" w:styleId="219">
    <w:name w:val="标准文件_封面实施日期"/>
    <w:basedOn w:val="1"/>
    <w:qFormat/>
    <w:uiPriority w:val="0"/>
    <w:pPr>
      <w:spacing w:line="310" w:lineRule="exact"/>
      <w:jc w:val="right"/>
    </w:pPr>
    <w:rPr>
      <w:rFonts w:ascii="黑体" w:eastAsia="黑体"/>
      <w:sz w:val="28"/>
    </w:rPr>
  </w:style>
  <w:style w:type="paragraph" w:customStyle="1" w:styleId="220">
    <w:name w:val="标准文件_数字编号列项"/>
    <w:qFormat/>
    <w:uiPriority w:val="0"/>
    <w:pPr>
      <w:numPr>
        <w:ilvl w:val="0"/>
        <w:numId w:val="30"/>
      </w:numPr>
      <w:jc w:val="both"/>
    </w:pPr>
    <w:rPr>
      <w:rFonts w:ascii="宋体" w:hAnsi="宋体" w:eastAsia="宋体" w:cs="Times New Roman"/>
      <w:sz w:val="21"/>
      <w:lang w:val="en-US" w:eastAsia="zh-CN" w:bidi="ar-SA"/>
    </w:rPr>
  </w:style>
  <w:style w:type="paragraph" w:customStyle="1" w:styleId="221">
    <w:name w:val="四级无标题条"/>
    <w:basedOn w:val="1"/>
    <w:qFormat/>
    <w:uiPriority w:val="0"/>
    <w:pPr>
      <w:numPr>
        <w:ilvl w:val="5"/>
        <w:numId w:val="8"/>
      </w:numPr>
      <w:adjustRightInd/>
      <w:spacing w:line="240" w:lineRule="auto"/>
    </w:pPr>
    <w:rPr>
      <w:rFonts w:ascii="宋体" w:hAnsi="宋体"/>
      <w:szCs w:val="24"/>
    </w:rPr>
  </w:style>
  <w:style w:type="paragraph" w:customStyle="1" w:styleId="22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223">
    <w:name w:val="标准文件_脚注内容"/>
    <w:basedOn w:val="51"/>
    <w:qFormat/>
    <w:uiPriority w:val="0"/>
    <w:pPr>
      <w:ind w:left="400" w:leftChars="200" w:hanging="200" w:hangingChars="200"/>
    </w:pPr>
    <w:rPr>
      <w:sz w:val="15"/>
    </w:rPr>
  </w:style>
  <w:style w:type="paragraph" w:customStyle="1" w:styleId="224">
    <w:name w:val="标准文件_引言一级无标题"/>
    <w:basedOn w:val="163"/>
    <w:next w:val="51"/>
    <w:qFormat/>
    <w:uiPriority w:val="0"/>
    <w:pPr>
      <w:spacing w:beforeLines="0" w:afterLines="0" w:line="276" w:lineRule="auto"/>
    </w:pPr>
    <w:rPr>
      <w:rFonts w:ascii="宋体" w:eastAsia="宋体"/>
    </w:rPr>
  </w:style>
  <w:style w:type="paragraph" w:customStyle="1" w:styleId="225">
    <w:name w:val="标准文件_表格续"/>
    <w:basedOn w:val="51"/>
    <w:next w:val="51"/>
    <w:qFormat/>
    <w:uiPriority w:val="0"/>
    <w:pPr>
      <w:jc w:val="center"/>
    </w:pPr>
    <w:rPr>
      <w:rFonts w:ascii="黑体" w:hAnsi="黑体" w:eastAsia="黑体"/>
    </w:rPr>
  </w:style>
  <w:style w:type="paragraph" w:customStyle="1" w:styleId="226">
    <w:name w:val="标准文件_提示"/>
    <w:basedOn w:val="51"/>
    <w:next w:val="51"/>
    <w:qFormat/>
    <w:uiPriority w:val="0"/>
    <w:pPr>
      <w:ind w:firstLine="420"/>
    </w:pPr>
    <w:rPr>
      <w:rFonts w:ascii="黑体" w:eastAsia="黑体"/>
    </w:rPr>
  </w:style>
  <w:style w:type="paragraph" w:customStyle="1" w:styleId="227">
    <w:name w:val="标准文件_二级项2"/>
    <w:basedOn w:val="51"/>
    <w:qFormat/>
    <w:uiPriority w:val="0"/>
    <w:pPr>
      <w:numPr>
        <w:ilvl w:val="1"/>
        <w:numId w:val="14"/>
      </w:numPr>
      <w:ind w:left="1271" w:hanging="420" w:firstLineChars="0"/>
    </w:pPr>
  </w:style>
  <w:style w:type="paragraph" w:customStyle="1" w:styleId="228">
    <w:name w:val="标准文件_图表脚注"/>
    <w:basedOn w:val="1"/>
    <w:next w:val="51"/>
    <w:qFormat/>
    <w:uiPriority w:val="0"/>
    <w:pPr>
      <w:numPr>
        <w:ilvl w:val="0"/>
        <w:numId w:val="31"/>
      </w:numPr>
      <w:spacing w:line="240" w:lineRule="auto"/>
      <w:jc w:val="left"/>
    </w:pPr>
    <w:rPr>
      <w:rFonts w:ascii="宋体" w:hAnsi="宋体"/>
      <w:sz w:val="18"/>
    </w:rPr>
  </w:style>
  <w:style w:type="paragraph" w:customStyle="1" w:styleId="229">
    <w:name w:val="五级无标题条"/>
    <w:basedOn w:val="1"/>
    <w:qFormat/>
    <w:uiPriority w:val="0"/>
    <w:pPr>
      <w:numPr>
        <w:ilvl w:val="6"/>
        <w:numId w:val="8"/>
      </w:numPr>
      <w:adjustRightInd/>
    </w:pPr>
    <w:rPr>
      <w:szCs w:val="24"/>
    </w:rPr>
  </w:style>
  <w:style w:type="table" w:customStyle="1" w:styleId="23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3" Type="http://schemas.openxmlformats.org/officeDocument/2006/relationships/fontTable" Target="fontTable.xml"/><Relationship Id="rId62" Type="http://schemas.openxmlformats.org/officeDocument/2006/relationships/customXml" Target="../customXml/item2.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header" Target="header2.xml"/><Relationship Id="rId59" Type="http://schemas.openxmlformats.org/officeDocument/2006/relationships/image" Target="media/image28.jpeg"/><Relationship Id="rId58" Type="http://schemas.openxmlformats.org/officeDocument/2006/relationships/image" Target="media/image27.jpeg"/><Relationship Id="rId57" Type="http://schemas.openxmlformats.org/officeDocument/2006/relationships/image" Target="media/image26.jpeg"/><Relationship Id="rId56" Type="http://schemas.openxmlformats.org/officeDocument/2006/relationships/image" Target="media/image25.jpeg"/><Relationship Id="rId55" Type="http://schemas.openxmlformats.org/officeDocument/2006/relationships/image" Target="media/image24.jpeg"/><Relationship Id="rId54" Type="http://schemas.openxmlformats.org/officeDocument/2006/relationships/image" Target="media/image23.jpeg"/><Relationship Id="rId53" Type="http://schemas.openxmlformats.org/officeDocument/2006/relationships/image" Target="media/image22.jpeg"/><Relationship Id="rId52" Type="http://schemas.openxmlformats.org/officeDocument/2006/relationships/image" Target="media/image21.jpeg"/><Relationship Id="rId51" Type="http://schemas.openxmlformats.org/officeDocument/2006/relationships/image" Target="media/image20.jpeg"/><Relationship Id="rId50" Type="http://schemas.openxmlformats.org/officeDocument/2006/relationships/image" Target="media/image19.jpeg"/><Relationship Id="rId5" Type="http://schemas.openxmlformats.org/officeDocument/2006/relationships/header" Target="header1.xml"/><Relationship Id="rId49" Type="http://schemas.openxmlformats.org/officeDocument/2006/relationships/image" Target="media/image18.jpeg"/><Relationship Id="rId48" Type="http://schemas.openxmlformats.org/officeDocument/2006/relationships/image" Target="media/image17.jpeg"/><Relationship Id="rId47" Type="http://schemas.openxmlformats.org/officeDocument/2006/relationships/image" Target="media/image16.jpeg"/><Relationship Id="rId46" Type="http://schemas.openxmlformats.org/officeDocument/2006/relationships/image" Target="media/image15.jpeg"/><Relationship Id="rId45" Type="http://schemas.openxmlformats.org/officeDocument/2006/relationships/image" Target="media/image14.jpeg"/><Relationship Id="rId44" Type="http://schemas.openxmlformats.org/officeDocument/2006/relationships/image" Target="media/image13.jpeg"/><Relationship Id="rId43" Type="http://schemas.openxmlformats.org/officeDocument/2006/relationships/image" Target="media/image12.jpeg"/><Relationship Id="rId42" Type="http://schemas.openxmlformats.org/officeDocument/2006/relationships/image" Target="media/image11.jpeg"/><Relationship Id="rId41" Type="http://schemas.openxmlformats.org/officeDocument/2006/relationships/image" Target="media/image10.jpeg"/><Relationship Id="rId40" Type="http://schemas.openxmlformats.org/officeDocument/2006/relationships/image" Target="media/image9.jpeg"/><Relationship Id="rId4" Type="http://schemas.openxmlformats.org/officeDocument/2006/relationships/endnotes" Target="endnotes.xml"/><Relationship Id="rId39" Type="http://schemas.openxmlformats.org/officeDocument/2006/relationships/image" Target="media/image8.jpeg"/><Relationship Id="rId38" Type="http://schemas.openxmlformats.org/officeDocument/2006/relationships/image" Target="media/image7.jpeg"/><Relationship Id="rId37" Type="http://schemas.openxmlformats.org/officeDocument/2006/relationships/image" Target="media/image6.jpeg"/><Relationship Id="rId36" Type="http://schemas.openxmlformats.org/officeDocument/2006/relationships/image" Target="media/image5.png"/><Relationship Id="rId35" Type="http://schemas.openxmlformats.org/officeDocument/2006/relationships/image" Target="media/image4.png"/><Relationship Id="rId34" Type="http://schemas.openxmlformats.org/officeDocument/2006/relationships/image" Target="media/image3.wmf"/><Relationship Id="rId33" Type="http://schemas.openxmlformats.org/officeDocument/2006/relationships/oleObject" Target="embeddings/oleObject2.bin"/><Relationship Id="rId32" Type="http://schemas.openxmlformats.org/officeDocument/2006/relationships/image" Target="media/image2.wmf"/><Relationship Id="rId31" Type="http://schemas.openxmlformats.org/officeDocument/2006/relationships/oleObject" Target="embeddings/oleObject1.bin"/><Relationship Id="rId30" Type="http://schemas.openxmlformats.org/officeDocument/2006/relationships/image" Target="media/image1.pn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631;&#20934;&#32534;&#20889;&#26684;&#24335;&#36719;&#20214;\StandardEditorForWPS\template\&#22320;&#26041;&#26631;&#20934;.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Info spid="_x0000_s1030"/>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39A8A9-722E-4E14-9695-95B604513953}">
  <ds:schemaRefs/>
</ds:datastoreItem>
</file>

<file path=docProps/app.xml><?xml version="1.0" encoding="utf-8"?>
<Properties xmlns="http://schemas.openxmlformats.org/officeDocument/2006/extended-properties" xmlns:vt="http://schemas.openxmlformats.org/officeDocument/2006/docPropsVTypes">
  <Template>地方标准.wpt</Template>
  <Company>china</Company>
  <Pages>38</Pages>
  <Words>19059</Words>
  <Characters>20039</Characters>
  <Lines>165</Lines>
  <Paragraphs>46</Paragraphs>
  <TotalTime>11</TotalTime>
  <ScaleCrop>false</ScaleCrop>
  <LinksUpToDate>false</LinksUpToDate>
  <CharactersWithSpaces>20751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2024-10-22T08:21:00Z</dcterms:created>
  <dc:creator>zxghs</dc:creator>
  <dc:description>&lt;config cover="true" show_menu="true" version="1.0.0" doctype="SDKXY"&gt;_x000d_
&lt;/config&gt;</dc:description>
  <cp:lastModifiedBy>zxghs</cp:lastModifiedBy>
  <dcterms:modified xsi:type="dcterms:W3CDTF">2024-10-23T09:52:37Z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D:\标准编写格式软件\StandardEditorForWPS\/template/地方标准.wpt</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71258DE5A721482AAB42505280E423FF_13</vt:lpwstr>
  </property>
  <property fmtid="{D5CDD505-2E9C-101B-9397-08002B2CF9AE}" pid="16" name="DoublePage">
    <vt:lpwstr>true</vt:lpwstr>
  </property>
</Properties>
</file>