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FE832F">
      <w:pPr>
        <w:widowControl/>
        <w:jc w:val="center"/>
        <w:rPr>
          <w:rFonts w:hint="eastAsia" w:ascii="黑体" w:hAnsi="ˎ̥" w:eastAsia="黑体" w:cs="宋体"/>
          <w:bCs/>
          <w:color w:val="000000"/>
          <w:kern w:val="0"/>
          <w:sz w:val="44"/>
          <w:szCs w:val="44"/>
        </w:rPr>
      </w:pPr>
      <w:bookmarkStart w:id="16" w:name="_GoBack"/>
      <w:bookmarkEnd w:id="16"/>
    </w:p>
    <w:p w14:paraId="2334252C">
      <w:pPr>
        <w:widowControl/>
        <w:jc w:val="center"/>
        <w:rPr>
          <w:rFonts w:hint="eastAsia" w:ascii="黑体" w:hAnsi="ˎ̥" w:eastAsia="黑体" w:cs="宋体"/>
          <w:bCs/>
          <w:color w:val="000000"/>
          <w:kern w:val="0"/>
          <w:sz w:val="44"/>
          <w:szCs w:val="44"/>
        </w:rPr>
      </w:pPr>
    </w:p>
    <w:p w14:paraId="4D6B7731">
      <w:pPr>
        <w:widowControl/>
        <w:jc w:val="center"/>
        <w:rPr>
          <w:rFonts w:hint="eastAsia" w:ascii="黑体" w:hAnsi="ˎ̥" w:eastAsia="黑体" w:cs="宋体"/>
          <w:bCs/>
          <w:color w:val="000000"/>
          <w:kern w:val="0"/>
          <w:sz w:val="44"/>
          <w:szCs w:val="44"/>
        </w:rPr>
      </w:pPr>
    </w:p>
    <w:p w14:paraId="69DE5EF6">
      <w:pPr>
        <w:widowControl/>
        <w:jc w:val="center"/>
        <w:rPr>
          <w:rFonts w:hint="eastAsia" w:ascii="黑体" w:hAnsi="ˎ̥" w:eastAsia="黑体" w:cs="宋体"/>
          <w:bCs/>
          <w:color w:val="000000"/>
          <w:kern w:val="0"/>
          <w:sz w:val="44"/>
          <w:szCs w:val="44"/>
        </w:rPr>
      </w:pPr>
    </w:p>
    <w:p w14:paraId="4995A3EB">
      <w:pPr>
        <w:widowControl/>
        <w:jc w:val="center"/>
        <w:rPr>
          <w:rFonts w:hint="eastAsia" w:ascii="黑体" w:hAnsi="ˎ̥" w:eastAsia="黑体" w:cs="宋体"/>
          <w:bCs/>
          <w:color w:val="000000"/>
          <w:kern w:val="0"/>
          <w:sz w:val="84"/>
          <w:szCs w:val="84"/>
        </w:rPr>
      </w:pPr>
      <w:r>
        <w:rPr>
          <w:rFonts w:hint="eastAsia" w:ascii="黑体" w:hAnsi="ˎ̥" w:eastAsia="黑体" w:cs="宋体"/>
          <w:bCs/>
          <w:color w:val="000000"/>
          <w:kern w:val="0"/>
          <w:sz w:val="84"/>
          <w:szCs w:val="84"/>
        </w:rPr>
        <w:t>建设工程招投标</w:t>
      </w:r>
    </w:p>
    <w:p w14:paraId="1028FC1B">
      <w:pPr>
        <w:widowControl/>
        <w:jc w:val="center"/>
        <w:rPr>
          <w:rFonts w:hint="eastAsia" w:ascii="黑体" w:hAnsi="ˎ̥" w:eastAsia="黑体" w:cs="宋体"/>
          <w:bCs/>
          <w:color w:val="000000"/>
          <w:kern w:val="0"/>
          <w:sz w:val="84"/>
          <w:szCs w:val="84"/>
        </w:rPr>
      </w:pPr>
      <w:r>
        <w:rPr>
          <w:rFonts w:hint="eastAsia" w:ascii="黑体" w:hAnsi="ˎ̥" w:eastAsia="黑体" w:cs="宋体"/>
          <w:bCs/>
          <w:color w:val="000000"/>
          <w:kern w:val="0"/>
          <w:sz w:val="84"/>
          <w:szCs w:val="84"/>
        </w:rPr>
        <w:t>工作制度</w:t>
      </w:r>
    </w:p>
    <w:p w14:paraId="448EFB79">
      <w:pPr>
        <w:widowControl/>
        <w:jc w:val="center"/>
        <w:rPr>
          <w:rFonts w:hint="eastAsia" w:ascii="黑体" w:hAnsi="ˎ̥" w:eastAsia="黑体" w:cs="宋体"/>
          <w:bCs/>
          <w:color w:val="000000"/>
          <w:kern w:val="0"/>
          <w:sz w:val="84"/>
          <w:szCs w:val="84"/>
        </w:rPr>
      </w:pPr>
    </w:p>
    <w:p w14:paraId="3F9A1AFE">
      <w:pPr>
        <w:widowControl/>
        <w:jc w:val="center"/>
        <w:rPr>
          <w:rFonts w:hint="eastAsia" w:ascii="黑体" w:hAnsi="ˎ̥" w:eastAsia="黑体" w:cs="宋体"/>
          <w:bCs/>
          <w:color w:val="000000"/>
          <w:kern w:val="0"/>
          <w:sz w:val="44"/>
          <w:szCs w:val="44"/>
        </w:rPr>
      </w:pPr>
    </w:p>
    <w:p w14:paraId="38EDBB3C">
      <w:pPr>
        <w:widowControl/>
        <w:jc w:val="center"/>
        <w:rPr>
          <w:rFonts w:hint="eastAsia" w:ascii="黑体" w:hAnsi="ˎ̥" w:eastAsia="黑体" w:cs="宋体"/>
          <w:bCs/>
          <w:color w:val="000000"/>
          <w:kern w:val="0"/>
          <w:sz w:val="44"/>
          <w:szCs w:val="44"/>
        </w:rPr>
      </w:pPr>
    </w:p>
    <w:p w14:paraId="7C52CF80">
      <w:pPr>
        <w:widowControl/>
        <w:jc w:val="center"/>
        <w:rPr>
          <w:rFonts w:hint="eastAsia" w:ascii="黑体" w:hAnsi="ˎ̥" w:eastAsia="黑体" w:cs="宋体"/>
          <w:bCs/>
          <w:color w:val="000000"/>
          <w:kern w:val="0"/>
          <w:sz w:val="44"/>
          <w:szCs w:val="44"/>
        </w:rPr>
      </w:pPr>
    </w:p>
    <w:p w14:paraId="6D6B7539">
      <w:pPr>
        <w:widowControl/>
        <w:jc w:val="center"/>
        <w:rPr>
          <w:rFonts w:hint="eastAsia" w:ascii="黑体" w:hAnsi="ˎ̥" w:eastAsia="黑体" w:cs="宋体"/>
          <w:bCs/>
          <w:color w:val="000000"/>
          <w:kern w:val="0"/>
          <w:sz w:val="44"/>
          <w:szCs w:val="44"/>
        </w:rPr>
      </w:pPr>
    </w:p>
    <w:p w14:paraId="0030EA2C">
      <w:pPr>
        <w:widowControl/>
        <w:jc w:val="center"/>
        <w:rPr>
          <w:rFonts w:hint="eastAsia" w:ascii="黑体" w:hAnsi="ˎ̥" w:eastAsia="黑体" w:cs="宋体"/>
          <w:bCs/>
          <w:color w:val="000000"/>
          <w:kern w:val="0"/>
          <w:sz w:val="44"/>
          <w:szCs w:val="44"/>
        </w:rPr>
      </w:pPr>
    </w:p>
    <w:p w14:paraId="328C7363">
      <w:pPr>
        <w:widowControl/>
        <w:jc w:val="center"/>
        <w:rPr>
          <w:rFonts w:hint="eastAsia" w:ascii="黑体" w:hAnsi="ˎ̥" w:eastAsia="黑体" w:cs="宋体"/>
          <w:bCs/>
          <w:color w:val="000000"/>
          <w:kern w:val="0"/>
          <w:sz w:val="44"/>
          <w:szCs w:val="44"/>
        </w:rPr>
      </w:pPr>
    </w:p>
    <w:p w14:paraId="56606580">
      <w:pPr>
        <w:widowControl/>
        <w:jc w:val="center"/>
        <w:rPr>
          <w:rFonts w:hint="eastAsia" w:ascii="黑体" w:hAnsi="ˎ̥" w:eastAsia="黑体" w:cs="宋体"/>
          <w:bCs/>
          <w:color w:val="000000"/>
          <w:kern w:val="0"/>
          <w:sz w:val="44"/>
          <w:szCs w:val="44"/>
        </w:rPr>
      </w:pPr>
    </w:p>
    <w:p w14:paraId="7D133CA9">
      <w:pPr>
        <w:widowControl/>
        <w:jc w:val="center"/>
        <w:rPr>
          <w:rFonts w:hint="eastAsia" w:ascii="黑体" w:hAnsi="ˎ̥" w:eastAsia="黑体" w:cs="宋体"/>
          <w:bCs/>
          <w:color w:val="000000"/>
          <w:kern w:val="0"/>
          <w:sz w:val="44"/>
          <w:szCs w:val="44"/>
        </w:rPr>
      </w:pPr>
      <w:r>
        <w:rPr>
          <w:rFonts w:hint="eastAsia" w:ascii="黑体" w:hAnsi="ˎ̥" w:eastAsia="黑体" w:cs="宋体"/>
          <w:bCs/>
          <w:color w:val="000000"/>
          <w:kern w:val="0"/>
          <w:sz w:val="44"/>
          <w:szCs w:val="44"/>
        </w:rPr>
        <w:t>沈阳市城乡建设事务服务中心</w:t>
      </w:r>
    </w:p>
    <w:p w14:paraId="6344F661">
      <w:pPr>
        <w:widowControl/>
        <w:jc w:val="center"/>
        <w:rPr>
          <w:rFonts w:hint="eastAsia" w:ascii="黑体" w:hAnsi="ˎ̥" w:eastAsia="黑体" w:cs="宋体"/>
          <w:bCs/>
          <w:color w:val="000000"/>
          <w:kern w:val="0"/>
          <w:sz w:val="44"/>
          <w:szCs w:val="44"/>
        </w:rPr>
      </w:pPr>
      <w:r>
        <w:rPr>
          <w:rFonts w:hint="eastAsia" w:ascii="黑体" w:hAnsi="ˎ̥" w:eastAsia="黑体" w:cs="宋体"/>
          <w:bCs/>
          <w:color w:val="000000"/>
          <w:kern w:val="0"/>
          <w:sz w:val="44"/>
          <w:szCs w:val="44"/>
        </w:rPr>
        <w:t>建设工程招标投标事务部</w:t>
      </w:r>
    </w:p>
    <w:p w14:paraId="2BA82138">
      <w:pPr>
        <w:widowControl/>
        <w:jc w:val="center"/>
        <w:rPr>
          <w:rFonts w:hint="eastAsia" w:ascii="黑体" w:hAnsi="ˎ̥" w:eastAsia="黑体" w:cs="宋体"/>
          <w:bCs/>
          <w:color w:val="000000"/>
          <w:kern w:val="0"/>
          <w:sz w:val="44"/>
          <w:szCs w:val="44"/>
        </w:rPr>
      </w:pPr>
    </w:p>
    <w:p w14:paraId="3A3CE1AD">
      <w:pPr>
        <w:widowControl/>
        <w:jc w:val="center"/>
        <w:rPr>
          <w:rFonts w:hint="eastAsia" w:ascii="黑体" w:hAnsi="ˎ̥" w:eastAsia="黑体" w:cs="宋体"/>
          <w:bCs/>
          <w:color w:val="000000"/>
          <w:kern w:val="0"/>
          <w:sz w:val="44"/>
          <w:szCs w:val="44"/>
        </w:rPr>
      </w:pPr>
    </w:p>
    <w:p w14:paraId="05102EEA">
      <w:pPr>
        <w:widowControl/>
        <w:jc w:val="center"/>
        <w:rPr>
          <w:rFonts w:hint="eastAsia" w:ascii="黑体" w:hAnsi="ˎ̥" w:eastAsia="黑体" w:cs="宋体"/>
          <w:bCs/>
          <w:color w:val="000000"/>
          <w:kern w:val="0"/>
          <w:sz w:val="44"/>
          <w:szCs w:val="44"/>
        </w:rPr>
      </w:pPr>
    </w:p>
    <w:p w14:paraId="1BF7A34E">
      <w:pPr>
        <w:widowControl/>
        <w:jc w:val="center"/>
        <w:rPr>
          <w:rFonts w:hint="eastAsia" w:ascii="黑体" w:hAnsi="ˎ̥" w:eastAsia="黑体" w:cs="宋体"/>
          <w:bCs/>
          <w:color w:val="000000"/>
          <w:kern w:val="0"/>
          <w:sz w:val="44"/>
          <w:szCs w:val="44"/>
        </w:rPr>
      </w:pPr>
    </w:p>
    <w:p w14:paraId="738E6488">
      <w:pPr>
        <w:widowControl/>
        <w:jc w:val="center"/>
        <w:rPr>
          <w:rFonts w:hint="eastAsia" w:ascii="黑体" w:hAnsi="ˎ̥" w:eastAsia="黑体" w:cs="宋体"/>
          <w:bCs/>
          <w:color w:val="000000"/>
          <w:kern w:val="0"/>
          <w:sz w:val="44"/>
          <w:szCs w:val="44"/>
        </w:rPr>
      </w:pPr>
    </w:p>
    <w:p w14:paraId="1182CBF3">
      <w:pPr>
        <w:widowControl/>
        <w:jc w:val="center"/>
        <w:rPr>
          <w:rFonts w:hint="eastAsia" w:ascii="黑体" w:hAnsi="ˎ̥" w:eastAsia="黑体" w:cs="宋体"/>
          <w:bCs/>
          <w:color w:val="000000"/>
          <w:kern w:val="0"/>
          <w:sz w:val="44"/>
          <w:szCs w:val="44"/>
        </w:rPr>
        <w:sectPr>
          <w:headerReference r:id="rId3" w:type="default"/>
          <w:footerReference r:id="rId4" w:type="even"/>
          <w:pgSz w:w="11906" w:h="16838"/>
          <w:pgMar w:top="1361" w:right="1531" w:bottom="1361" w:left="1531" w:header="851" w:footer="992" w:gutter="0"/>
          <w:pgNumType w:start="1"/>
          <w:cols w:space="425" w:num="1"/>
          <w:docGrid w:type="lines" w:linePitch="288" w:charSpace="0"/>
        </w:sectPr>
      </w:pPr>
    </w:p>
    <w:p w14:paraId="7267E84B">
      <w:pPr>
        <w:widowControl/>
        <w:jc w:val="center"/>
        <w:rPr>
          <w:rFonts w:hint="eastAsia" w:ascii="黑体" w:hAnsi="ˎ̥" w:eastAsia="黑体" w:cs="宋体"/>
          <w:bCs/>
          <w:color w:val="000000"/>
          <w:kern w:val="0"/>
          <w:sz w:val="44"/>
          <w:szCs w:val="44"/>
        </w:rPr>
      </w:pPr>
      <w:r>
        <w:rPr>
          <w:rFonts w:hint="eastAsia" w:ascii="黑体" w:hAnsi="ˎ̥" w:eastAsia="黑体" w:cs="宋体"/>
          <w:bCs/>
          <w:color w:val="000000"/>
          <w:kern w:val="0"/>
          <w:sz w:val="44"/>
          <w:szCs w:val="44"/>
        </w:rPr>
        <w:t>目录</w:t>
      </w:r>
    </w:p>
    <w:p w14:paraId="38B20A80">
      <w:pPr>
        <w:widowControl/>
        <w:rPr>
          <w:rFonts w:hint="eastAsia" w:ascii="黑体" w:hAnsi="ˎ̥" w:eastAsia="黑体" w:cs="宋体"/>
          <w:bCs/>
          <w:color w:val="000000"/>
          <w:kern w:val="0"/>
          <w:sz w:val="44"/>
          <w:szCs w:val="44"/>
        </w:rPr>
      </w:pPr>
    </w:p>
    <w:sdt>
      <w:sdtPr>
        <w:rPr>
          <w:rFonts w:ascii="宋体" w:hAnsi="宋体" w:eastAsia="宋体" w:cs="Times New Roman"/>
          <w:kern w:val="2"/>
          <w:sz w:val="21"/>
          <w:szCs w:val="24"/>
          <w:lang w:val="en-US" w:eastAsia="zh-CN" w:bidi="ar-SA"/>
        </w:rPr>
        <w:id w:val="147474537"/>
        <w15:color w:val="DBDBDB"/>
        <w:docPartObj>
          <w:docPartGallery w:val="Table of Contents"/>
          <w:docPartUnique/>
        </w:docPartObj>
      </w:sdtPr>
      <w:sdtEndPr>
        <w:rPr>
          <w:rFonts w:hint="eastAsia" w:ascii="Times New Roman" w:hAnsi="Times New Roman" w:eastAsia="宋体" w:cs="Times New Roman"/>
          <w:kern w:val="2"/>
          <w:sz w:val="21"/>
          <w:szCs w:val="24"/>
          <w:lang w:val="en-US" w:eastAsia="zh-CN" w:bidi="ar-SA"/>
        </w:rPr>
      </w:sdtEndPr>
      <w:sdtContent>
        <w:p w14:paraId="2993A2B4">
          <w:pPr>
            <w:spacing w:before="0" w:beforeLines="0" w:after="0" w:afterLines="0" w:line="240" w:lineRule="auto"/>
            <w:ind w:left="0" w:leftChars="0" w:right="0" w:rightChars="0" w:firstLine="0" w:firstLineChars="0"/>
            <w:jc w:val="center"/>
          </w:pPr>
          <w:r>
            <w:rPr>
              <w:rFonts w:ascii="宋体" w:hAnsi="宋体" w:eastAsia="宋体"/>
              <w:sz w:val="21"/>
            </w:rPr>
            <w:t>目录</w:t>
          </w:r>
        </w:p>
        <w:p w14:paraId="350310B0">
          <w:pPr>
            <w:pStyle w:val="6"/>
            <w:tabs>
              <w:tab w:val="right" w:leader="dot" w:pos="8844"/>
            </w:tabs>
          </w:pPr>
          <w:r>
            <w:rPr>
              <w:rFonts w:hint="eastAsia" w:ascii="黑体" w:hAnsi="ˎ̥" w:eastAsia="黑体" w:cs="宋体"/>
              <w:bCs/>
              <w:color w:val="000000"/>
              <w:kern w:val="0"/>
              <w:sz w:val="44"/>
              <w:szCs w:val="44"/>
            </w:rPr>
            <w:fldChar w:fldCharType="begin"/>
          </w:r>
          <w:r>
            <w:rPr>
              <w:rFonts w:hint="eastAsia" w:ascii="黑体" w:hAnsi="ˎ̥" w:eastAsia="黑体" w:cs="宋体"/>
              <w:bCs/>
              <w:color w:val="000000"/>
              <w:kern w:val="0"/>
              <w:sz w:val="44"/>
              <w:szCs w:val="44"/>
            </w:rPr>
            <w:instrText xml:space="preserve">TOC \o "1-3" \h \u </w:instrText>
          </w:r>
          <w:r>
            <w:rPr>
              <w:rFonts w:hint="eastAsia" w:ascii="黑体" w:hAnsi="ˎ̥" w:eastAsia="黑体" w:cs="宋体"/>
              <w:bCs/>
              <w:color w:val="000000"/>
              <w:kern w:val="0"/>
              <w:sz w:val="44"/>
              <w:szCs w:val="44"/>
            </w:rPr>
            <w:fldChar w:fldCharType="separate"/>
          </w: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_Toc18962 </w:instrText>
          </w:r>
          <w:r>
            <w:rPr>
              <w:rFonts w:hint="eastAsia" w:ascii="黑体" w:hAnsi="ˎ̥" w:eastAsia="黑体" w:cs="宋体"/>
              <w:bCs/>
              <w:kern w:val="0"/>
              <w:szCs w:val="44"/>
            </w:rPr>
            <w:fldChar w:fldCharType="separate"/>
          </w:r>
          <w:r>
            <w:rPr>
              <w:rFonts w:hint="eastAsia"/>
            </w:rPr>
            <w:t>招标投标监督管理工作总则</w:t>
          </w:r>
          <w:r>
            <w:tab/>
          </w:r>
          <w:r>
            <w:fldChar w:fldCharType="begin"/>
          </w:r>
          <w:r>
            <w:instrText xml:space="preserve"> PAGEREF _Toc18962 </w:instrText>
          </w:r>
          <w:r>
            <w:fldChar w:fldCharType="separate"/>
          </w:r>
          <w:r>
            <w:t>1</w:t>
          </w:r>
          <w:r>
            <w:fldChar w:fldCharType="end"/>
          </w:r>
          <w:r>
            <w:rPr>
              <w:rFonts w:hint="eastAsia" w:ascii="黑体" w:hAnsi="ˎ̥" w:eastAsia="黑体" w:cs="宋体"/>
              <w:bCs/>
              <w:color w:val="000000"/>
              <w:kern w:val="0"/>
              <w:szCs w:val="44"/>
            </w:rPr>
            <w:fldChar w:fldCharType="end"/>
          </w:r>
        </w:p>
        <w:p w14:paraId="219681BE">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_Toc15774 </w:instrText>
          </w:r>
          <w:r>
            <w:rPr>
              <w:rFonts w:hint="eastAsia" w:ascii="黑体" w:hAnsi="ˎ̥" w:eastAsia="黑体" w:cs="宋体"/>
              <w:bCs/>
              <w:kern w:val="0"/>
              <w:szCs w:val="44"/>
            </w:rPr>
            <w:fldChar w:fldCharType="separate"/>
          </w:r>
          <w:r>
            <w:rPr>
              <w:rFonts w:hint="eastAsia"/>
            </w:rPr>
            <w:t>自行办理招标备案工作制度</w:t>
          </w:r>
          <w:r>
            <w:tab/>
          </w:r>
          <w:r>
            <w:fldChar w:fldCharType="begin"/>
          </w:r>
          <w:r>
            <w:instrText xml:space="preserve"> PAGEREF _Toc15774 </w:instrText>
          </w:r>
          <w:r>
            <w:fldChar w:fldCharType="separate"/>
          </w:r>
          <w:r>
            <w:t>3</w:t>
          </w:r>
          <w:r>
            <w:fldChar w:fldCharType="end"/>
          </w:r>
          <w:r>
            <w:rPr>
              <w:rFonts w:hint="eastAsia" w:ascii="黑体" w:hAnsi="ˎ̥" w:eastAsia="黑体" w:cs="宋体"/>
              <w:bCs/>
              <w:color w:val="000000"/>
              <w:kern w:val="0"/>
              <w:szCs w:val="44"/>
            </w:rPr>
            <w:fldChar w:fldCharType="end"/>
          </w:r>
        </w:p>
        <w:p w14:paraId="1969F83F">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_Toc27827 </w:instrText>
          </w:r>
          <w:r>
            <w:rPr>
              <w:rFonts w:hint="eastAsia" w:ascii="黑体" w:hAnsi="ˎ̥" w:eastAsia="黑体" w:cs="宋体"/>
              <w:bCs/>
              <w:kern w:val="0"/>
              <w:szCs w:val="44"/>
            </w:rPr>
            <w:fldChar w:fldCharType="separate"/>
          </w:r>
          <w:r>
            <w:rPr>
              <w:rFonts w:hint="eastAsia"/>
            </w:rPr>
            <w:t>招标条件备案工作制度</w:t>
          </w:r>
          <w:r>
            <w:tab/>
          </w:r>
          <w:r>
            <w:fldChar w:fldCharType="begin"/>
          </w:r>
          <w:r>
            <w:instrText xml:space="preserve"> PAGEREF _Toc27827 </w:instrText>
          </w:r>
          <w:r>
            <w:fldChar w:fldCharType="separate"/>
          </w:r>
          <w:r>
            <w:t>4</w:t>
          </w:r>
          <w:r>
            <w:fldChar w:fldCharType="end"/>
          </w:r>
          <w:r>
            <w:rPr>
              <w:rFonts w:hint="eastAsia" w:ascii="黑体" w:hAnsi="ˎ̥" w:eastAsia="黑体" w:cs="宋体"/>
              <w:bCs/>
              <w:color w:val="000000"/>
              <w:kern w:val="0"/>
              <w:szCs w:val="44"/>
            </w:rPr>
            <w:fldChar w:fldCharType="end"/>
          </w:r>
        </w:p>
        <w:p w14:paraId="5CD2F187">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_Toc17525 </w:instrText>
          </w:r>
          <w:r>
            <w:rPr>
              <w:rFonts w:hint="eastAsia" w:ascii="黑体" w:hAnsi="ˎ̥" w:eastAsia="黑体" w:cs="宋体"/>
              <w:bCs/>
              <w:kern w:val="0"/>
              <w:szCs w:val="44"/>
            </w:rPr>
            <w:fldChar w:fldCharType="separate"/>
          </w:r>
          <w:r>
            <w:rPr>
              <w:rFonts w:hint="eastAsia"/>
            </w:rPr>
            <w:t>招标公告发布（投标邀请书发出）工作制度</w:t>
          </w:r>
          <w:r>
            <w:tab/>
          </w:r>
          <w:r>
            <w:fldChar w:fldCharType="begin"/>
          </w:r>
          <w:r>
            <w:instrText xml:space="preserve"> PAGEREF _Toc17525 </w:instrText>
          </w:r>
          <w:r>
            <w:fldChar w:fldCharType="separate"/>
          </w:r>
          <w:r>
            <w:t>6</w:t>
          </w:r>
          <w:r>
            <w:fldChar w:fldCharType="end"/>
          </w:r>
          <w:r>
            <w:rPr>
              <w:rFonts w:hint="eastAsia" w:ascii="黑体" w:hAnsi="ˎ̥" w:eastAsia="黑体" w:cs="宋体"/>
              <w:bCs/>
              <w:color w:val="000000"/>
              <w:kern w:val="0"/>
              <w:szCs w:val="44"/>
            </w:rPr>
            <w:fldChar w:fldCharType="end"/>
          </w:r>
        </w:p>
        <w:p w14:paraId="0339A5A2">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_Toc18337 </w:instrText>
          </w:r>
          <w:r>
            <w:rPr>
              <w:rFonts w:hint="eastAsia" w:ascii="黑体" w:hAnsi="ˎ̥" w:eastAsia="黑体" w:cs="宋体"/>
              <w:bCs/>
              <w:kern w:val="0"/>
              <w:szCs w:val="44"/>
            </w:rPr>
            <w:fldChar w:fldCharType="separate"/>
          </w:r>
          <w:r>
            <w:rPr>
              <w:rFonts w:hint="eastAsia"/>
            </w:rPr>
            <w:t>资格预审文件备案工作制度</w:t>
          </w:r>
          <w:r>
            <w:tab/>
          </w:r>
          <w:r>
            <w:fldChar w:fldCharType="begin"/>
          </w:r>
          <w:r>
            <w:instrText xml:space="preserve"> PAGEREF _Toc18337 </w:instrText>
          </w:r>
          <w:r>
            <w:fldChar w:fldCharType="separate"/>
          </w:r>
          <w:r>
            <w:t>8</w:t>
          </w:r>
          <w:r>
            <w:fldChar w:fldCharType="end"/>
          </w:r>
          <w:r>
            <w:rPr>
              <w:rFonts w:hint="eastAsia" w:ascii="黑体" w:hAnsi="ˎ̥" w:eastAsia="黑体" w:cs="宋体"/>
              <w:bCs/>
              <w:color w:val="000000"/>
              <w:kern w:val="0"/>
              <w:szCs w:val="44"/>
            </w:rPr>
            <w:fldChar w:fldCharType="end"/>
          </w:r>
        </w:p>
        <w:p w14:paraId="074B650C">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_Toc12921 </w:instrText>
          </w:r>
          <w:r>
            <w:rPr>
              <w:rFonts w:hint="eastAsia" w:ascii="黑体" w:hAnsi="ˎ̥" w:eastAsia="黑体" w:cs="宋体"/>
              <w:bCs/>
              <w:kern w:val="0"/>
              <w:szCs w:val="44"/>
            </w:rPr>
            <w:fldChar w:fldCharType="separate"/>
          </w:r>
          <w:r>
            <w:rPr>
              <w:rFonts w:hint="eastAsia"/>
            </w:rPr>
            <w:t>资格预审结果备案工作制度</w:t>
          </w:r>
          <w:r>
            <w:tab/>
          </w:r>
          <w:r>
            <w:fldChar w:fldCharType="begin"/>
          </w:r>
          <w:r>
            <w:instrText xml:space="preserve"> PAGEREF _Toc12921 </w:instrText>
          </w:r>
          <w:r>
            <w:fldChar w:fldCharType="separate"/>
          </w:r>
          <w:r>
            <w:t>10</w:t>
          </w:r>
          <w:r>
            <w:fldChar w:fldCharType="end"/>
          </w:r>
          <w:r>
            <w:rPr>
              <w:rFonts w:hint="eastAsia" w:ascii="黑体" w:hAnsi="ˎ̥" w:eastAsia="黑体" w:cs="宋体"/>
              <w:bCs/>
              <w:color w:val="000000"/>
              <w:kern w:val="0"/>
              <w:szCs w:val="44"/>
            </w:rPr>
            <w:fldChar w:fldCharType="end"/>
          </w:r>
        </w:p>
        <w:p w14:paraId="33249E4C">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_Toc6603 </w:instrText>
          </w:r>
          <w:r>
            <w:rPr>
              <w:rFonts w:hint="eastAsia" w:ascii="黑体" w:hAnsi="ˎ̥" w:eastAsia="黑体" w:cs="宋体"/>
              <w:bCs/>
              <w:kern w:val="0"/>
              <w:szCs w:val="44"/>
            </w:rPr>
            <w:fldChar w:fldCharType="separate"/>
          </w:r>
          <w:r>
            <w:rPr>
              <w:rFonts w:hint="eastAsia"/>
            </w:rPr>
            <w:t>招标文件备案工作制度</w:t>
          </w:r>
          <w:r>
            <w:tab/>
          </w:r>
          <w:r>
            <w:fldChar w:fldCharType="begin"/>
          </w:r>
          <w:r>
            <w:instrText xml:space="preserve"> PAGEREF _Toc6603 </w:instrText>
          </w:r>
          <w:r>
            <w:fldChar w:fldCharType="separate"/>
          </w:r>
          <w:r>
            <w:t>11</w:t>
          </w:r>
          <w:r>
            <w:fldChar w:fldCharType="end"/>
          </w:r>
          <w:r>
            <w:rPr>
              <w:rFonts w:hint="eastAsia" w:ascii="黑体" w:hAnsi="ˎ̥" w:eastAsia="黑体" w:cs="宋体"/>
              <w:bCs/>
              <w:color w:val="000000"/>
              <w:kern w:val="0"/>
              <w:szCs w:val="44"/>
            </w:rPr>
            <w:fldChar w:fldCharType="end"/>
          </w:r>
        </w:p>
        <w:p w14:paraId="5A551B8B">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_Toc7542 </w:instrText>
          </w:r>
          <w:r>
            <w:rPr>
              <w:rFonts w:hint="eastAsia" w:ascii="黑体" w:hAnsi="ˎ̥" w:eastAsia="黑体" w:cs="宋体"/>
              <w:bCs/>
              <w:kern w:val="0"/>
              <w:szCs w:val="44"/>
            </w:rPr>
            <w:fldChar w:fldCharType="separate"/>
          </w:r>
          <w:r>
            <w:rPr>
              <w:rFonts w:hint="eastAsia"/>
            </w:rPr>
            <w:t>答疑纪要、澄清修改文件备案工作制度</w:t>
          </w:r>
          <w:r>
            <w:tab/>
          </w:r>
          <w:r>
            <w:fldChar w:fldCharType="begin"/>
          </w:r>
          <w:r>
            <w:instrText xml:space="preserve"> PAGEREF _Toc7542 </w:instrText>
          </w:r>
          <w:r>
            <w:fldChar w:fldCharType="separate"/>
          </w:r>
          <w:r>
            <w:t>13</w:t>
          </w:r>
          <w:r>
            <w:fldChar w:fldCharType="end"/>
          </w:r>
          <w:r>
            <w:rPr>
              <w:rFonts w:hint="eastAsia" w:ascii="黑体" w:hAnsi="ˎ̥" w:eastAsia="黑体" w:cs="宋体"/>
              <w:bCs/>
              <w:color w:val="000000"/>
              <w:kern w:val="0"/>
              <w:szCs w:val="44"/>
            </w:rPr>
            <w:fldChar w:fldCharType="end"/>
          </w:r>
        </w:p>
        <w:p w14:paraId="308E36E2">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_Toc4612 </w:instrText>
          </w:r>
          <w:r>
            <w:rPr>
              <w:rFonts w:hint="eastAsia" w:ascii="黑体" w:hAnsi="ˎ̥" w:eastAsia="黑体" w:cs="宋体"/>
              <w:bCs/>
              <w:kern w:val="0"/>
              <w:szCs w:val="44"/>
            </w:rPr>
            <w:fldChar w:fldCharType="separate"/>
          </w:r>
          <w:r>
            <w:rPr>
              <w:rFonts w:hint="eastAsia"/>
            </w:rPr>
            <w:t>开、评标现场监管工作制度</w:t>
          </w:r>
          <w:r>
            <w:tab/>
          </w:r>
          <w:r>
            <w:fldChar w:fldCharType="begin"/>
          </w:r>
          <w:r>
            <w:instrText xml:space="preserve"> PAGEREF _Toc4612 </w:instrText>
          </w:r>
          <w:r>
            <w:fldChar w:fldCharType="separate"/>
          </w:r>
          <w:r>
            <w:t>14</w:t>
          </w:r>
          <w:r>
            <w:fldChar w:fldCharType="end"/>
          </w:r>
          <w:r>
            <w:rPr>
              <w:rFonts w:hint="eastAsia" w:ascii="黑体" w:hAnsi="ˎ̥" w:eastAsia="黑体" w:cs="宋体"/>
              <w:bCs/>
              <w:color w:val="000000"/>
              <w:kern w:val="0"/>
              <w:szCs w:val="44"/>
            </w:rPr>
            <w:fldChar w:fldCharType="end"/>
          </w:r>
        </w:p>
        <w:p w14:paraId="63609907">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_Toc28764 </w:instrText>
          </w:r>
          <w:r>
            <w:rPr>
              <w:rFonts w:hint="eastAsia" w:ascii="黑体" w:hAnsi="ˎ̥" w:eastAsia="黑体" w:cs="宋体"/>
              <w:bCs/>
              <w:kern w:val="0"/>
              <w:szCs w:val="44"/>
            </w:rPr>
            <w:fldChar w:fldCharType="separate"/>
          </w:r>
          <w:r>
            <w:rPr>
              <w:rFonts w:hint="eastAsia"/>
            </w:rPr>
            <w:t>定标备案工作制度</w:t>
          </w:r>
          <w:r>
            <w:tab/>
          </w:r>
          <w:r>
            <w:fldChar w:fldCharType="begin"/>
          </w:r>
          <w:r>
            <w:instrText xml:space="preserve"> PAGEREF _Toc28764 </w:instrText>
          </w:r>
          <w:r>
            <w:fldChar w:fldCharType="separate"/>
          </w:r>
          <w:r>
            <w:t>16</w:t>
          </w:r>
          <w:r>
            <w:fldChar w:fldCharType="end"/>
          </w:r>
          <w:r>
            <w:rPr>
              <w:rFonts w:hint="eastAsia" w:ascii="黑体" w:hAnsi="ˎ̥" w:eastAsia="黑体" w:cs="宋体"/>
              <w:bCs/>
              <w:color w:val="000000"/>
              <w:kern w:val="0"/>
              <w:szCs w:val="44"/>
            </w:rPr>
            <w:fldChar w:fldCharType="end"/>
          </w:r>
        </w:p>
        <w:p w14:paraId="2819F165">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_Toc12602 </w:instrText>
          </w:r>
          <w:r>
            <w:rPr>
              <w:rFonts w:hint="eastAsia" w:ascii="黑体" w:hAnsi="ˎ̥" w:eastAsia="黑体" w:cs="宋体"/>
              <w:bCs/>
              <w:kern w:val="0"/>
              <w:szCs w:val="44"/>
            </w:rPr>
            <w:fldChar w:fldCharType="separate"/>
          </w:r>
          <w:r>
            <w:rPr>
              <w:rFonts w:hint="eastAsia"/>
            </w:rPr>
            <w:t>中标公示管理工作制度</w:t>
          </w:r>
          <w:r>
            <w:tab/>
          </w:r>
          <w:r>
            <w:fldChar w:fldCharType="begin"/>
          </w:r>
          <w:r>
            <w:instrText xml:space="preserve"> PAGEREF _Toc12602 </w:instrText>
          </w:r>
          <w:r>
            <w:fldChar w:fldCharType="separate"/>
          </w:r>
          <w:r>
            <w:t>18</w:t>
          </w:r>
          <w:r>
            <w:fldChar w:fldCharType="end"/>
          </w:r>
          <w:r>
            <w:rPr>
              <w:rFonts w:hint="eastAsia" w:ascii="黑体" w:hAnsi="ˎ̥" w:eastAsia="黑体" w:cs="宋体"/>
              <w:bCs/>
              <w:color w:val="000000"/>
              <w:kern w:val="0"/>
              <w:szCs w:val="44"/>
            </w:rPr>
            <w:fldChar w:fldCharType="end"/>
          </w:r>
        </w:p>
        <w:p w14:paraId="038A1982">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_Toc27423 </w:instrText>
          </w:r>
          <w:r>
            <w:rPr>
              <w:rFonts w:hint="eastAsia" w:ascii="黑体" w:hAnsi="ˎ̥" w:eastAsia="黑体" w:cs="宋体"/>
              <w:bCs/>
              <w:kern w:val="0"/>
              <w:szCs w:val="44"/>
            </w:rPr>
            <w:fldChar w:fldCharType="separate"/>
          </w:r>
          <w:r>
            <w:rPr>
              <w:rFonts w:hint="eastAsia"/>
            </w:rPr>
            <w:t>中标备案工作制度</w:t>
          </w:r>
          <w:r>
            <w:tab/>
          </w:r>
          <w:r>
            <w:fldChar w:fldCharType="begin"/>
          </w:r>
          <w:r>
            <w:instrText xml:space="preserve"> PAGEREF _Toc27423 </w:instrText>
          </w:r>
          <w:r>
            <w:fldChar w:fldCharType="separate"/>
          </w:r>
          <w:r>
            <w:t>19</w:t>
          </w:r>
          <w:r>
            <w:fldChar w:fldCharType="end"/>
          </w:r>
          <w:r>
            <w:rPr>
              <w:rFonts w:hint="eastAsia" w:ascii="黑体" w:hAnsi="ˎ̥" w:eastAsia="黑体" w:cs="宋体"/>
              <w:bCs/>
              <w:color w:val="000000"/>
              <w:kern w:val="0"/>
              <w:szCs w:val="44"/>
            </w:rPr>
            <w:fldChar w:fldCharType="end"/>
          </w:r>
        </w:p>
        <w:p w14:paraId="1BB760D2">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_Toc22376 </w:instrText>
          </w:r>
          <w:r>
            <w:rPr>
              <w:rFonts w:hint="eastAsia" w:ascii="黑体" w:hAnsi="ˎ̥" w:eastAsia="黑体" w:cs="宋体"/>
              <w:bCs/>
              <w:kern w:val="0"/>
              <w:szCs w:val="44"/>
            </w:rPr>
            <w:fldChar w:fldCharType="separate"/>
          </w:r>
          <w:r>
            <w:rPr>
              <w:rFonts w:hint="eastAsia"/>
            </w:rPr>
            <w:t>投诉处理工作制度</w:t>
          </w:r>
          <w:r>
            <w:tab/>
          </w:r>
          <w:r>
            <w:fldChar w:fldCharType="begin"/>
          </w:r>
          <w:r>
            <w:instrText xml:space="preserve"> PAGEREF _Toc22376 </w:instrText>
          </w:r>
          <w:r>
            <w:fldChar w:fldCharType="separate"/>
          </w:r>
          <w:r>
            <w:t>22</w:t>
          </w:r>
          <w:r>
            <w:fldChar w:fldCharType="end"/>
          </w:r>
          <w:r>
            <w:rPr>
              <w:rFonts w:hint="eastAsia" w:ascii="黑体" w:hAnsi="ˎ̥" w:eastAsia="黑体" w:cs="宋体"/>
              <w:bCs/>
              <w:color w:val="000000"/>
              <w:kern w:val="0"/>
              <w:szCs w:val="44"/>
            </w:rPr>
            <w:fldChar w:fldCharType="end"/>
          </w:r>
        </w:p>
        <w:p w14:paraId="5B78C6CA">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_Toc22097 </w:instrText>
          </w:r>
          <w:r>
            <w:rPr>
              <w:rFonts w:hint="eastAsia" w:ascii="黑体" w:hAnsi="ˎ̥" w:eastAsia="黑体" w:cs="宋体"/>
              <w:bCs/>
              <w:kern w:val="0"/>
              <w:szCs w:val="44"/>
            </w:rPr>
            <w:fldChar w:fldCharType="separate"/>
          </w:r>
          <w:r>
            <w:rPr>
              <w:rFonts w:hint="eastAsia"/>
            </w:rPr>
            <w:t>投标人信息库资料审核工作制度</w:t>
          </w:r>
          <w:r>
            <w:tab/>
          </w:r>
          <w:r>
            <w:fldChar w:fldCharType="begin"/>
          </w:r>
          <w:r>
            <w:instrText xml:space="preserve"> PAGEREF _Toc22097 </w:instrText>
          </w:r>
          <w:r>
            <w:fldChar w:fldCharType="separate"/>
          </w:r>
          <w:r>
            <w:t>25</w:t>
          </w:r>
          <w:r>
            <w:fldChar w:fldCharType="end"/>
          </w:r>
          <w:r>
            <w:rPr>
              <w:rFonts w:hint="eastAsia" w:ascii="黑体" w:hAnsi="ˎ̥" w:eastAsia="黑体" w:cs="宋体"/>
              <w:bCs/>
              <w:color w:val="000000"/>
              <w:kern w:val="0"/>
              <w:szCs w:val="44"/>
            </w:rPr>
            <w:fldChar w:fldCharType="end"/>
          </w:r>
        </w:p>
        <w:p w14:paraId="547D29DF">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_Toc6454 </w:instrText>
          </w:r>
          <w:r>
            <w:rPr>
              <w:rFonts w:hint="eastAsia" w:ascii="黑体" w:hAnsi="ˎ̥" w:eastAsia="黑体" w:cs="宋体"/>
              <w:bCs/>
              <w:kern w:val="0"/>
              <w:szCs w:val="44"/>
            </w:rPr>
            <w:fldChar w:fldCharType="separate"/>
          </w:r>
          <w:r>
            <w:rPr>
              <w:rFonts w:hint="eastAsia"/>
              <w:lang w:val="en-US" w:eastAsia="zh-CN"/>
            </w:rPr>
            <w:t>对建设工程施工招标投标活动举报投诉处理工作制度</w:t>
          </w:r>
          <w:r>
            <w:tab/>
          </w:r>
          <w:r>
            <w:fldChar w:fldCharType="begin"/>
          </w:r>
          <w:r>
            <w:instrText xml:space="preserve"> PAGEREF _Toc6454 </w:instrText>
          </w:r>
          <w:r>
            <w:fldChar w:fldCharType="separate"/>
          </w:r>
          <w:r>
            <w:t>26</w:t>
          </w:r>
          <w:r>
            <w:fldChar w:fldCharType="end"/>
          </w:r>
          <w:r>
            <w:rPr>
              <w:rFonts w:hint="eastAsia" w:ascii="黑体" w:hAnsi="ˎ̥" w:eastAsia="黑体" w:cs="宋体"/>
              <w:bCs/>
              <w:color w:val="000000"/>
              <w:kern w:val="0"/>
              <w:szCs w:val="44"/>
            </w:rPr>
            <w:fldChar w:fldCharType="end"/>
          </w:r>
        </w:p>
        <w:p w14:paraId="3269CCAE">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_Toc12509 </w:instrText>
          </w:r>
          <w:r>
            <w:rPr>
              <w:rFonts w:hint="eastAsia" w:ascii="黑体" w:hAnsi="ˎ̥" w:eastAsia="黑体" w:cs="宋体"/>
              <w:bCs/>
              <w:kern w:val="0"/>
              <w:szCs w:val="44"/>
            </w:rPr>
            <w:fldChar w:fldCharType="separate"/>
          </w:r>
          <w:r>
            <w:rPr>
              <w:rFonts w:hint="eastAsia"/>
              <w:lang w:val="en-US" w:eastAsia="zh-CN"/>
            </w:rPr>
            <w:t>建设工程招投标活动检查工作制度</w:t>
          </w:r>
          <w:r>
            <w:tab/>
          </w:r>
          <w:r>
            <w:fldChar w:fldCharType="begin"/>
          </w:r>
          <w:r>
            <w:instrText xml:space="preserve"> PAGEREF _Toc12509 </w:instrText>
          </w:r>
          <w:r>
            <w:fldChar w:fldCharType="separate"/>
          </w:r>
          <w:r>
            <w:t>27</w:t>
          </w:r>
          <w:r>
            <w:fldChar w:fldCharType="end"/>
          </w:r>
          <w:r>
            <w:rPr>
              <w:rFonts w:hint="eastAsia" w:ascii="黑体" w:hAnsi="ˎ̥" w:eastAsia="黑体" w:cs="宋体"/>
              <w:bCs/>
              <w:color w:val="000000"/>
              <w:kern w:val="0"/>
              <w:szCs w:val="44"/>
            </w:rPr>
            <w:fldChar w:fldCharType="end"/>
          </w:r>
        </w:p>
        <w:p w14:paraId="78761D4D">
          <w:pPr>
            <w:widowControl/>
            <w:jc w:val="both"/>
            <w:outlineLvl w:val="9"/>
            <w:rPr>
              <w:rFonts w:hint="eastAsia" w:ascii="Times New Roman" w:hAnsi="Times New Roman" w:eastAsia="宋体" w:cs="Times New Roman"/>
              <w:kern w:val="2"/>
              <w:sz w:val="21"/>
              <w:szCs w:val="24"/>
              <w:lang w:val="en-US" w:eastAsia="zh-CN" w:bidi="ar-SA"/>
            </w:rPr>
            <w:sectPr>
              <w:pgSz w:w="11906" w:h="16838"/>
              <w:pgMar w:top="1361" w:right="1531" w:bottom="1361" w:left="1531" w:header="851" w:footer="992" w:gutter="0"/>
              <w:pgNumType w:start="1"/>
              <w:cols w:space="425" w:num="1"/>
              <w:docGrid w:type="lines" w:linePitch="288" w:charSpace="0"/>
            </w:sectPr>
          </w:pPr>
          <w:r>
            <w:rPr>
              <w:rFonts w:hint="eastAsia" w:ascii="黑体" w:hAnsi="ˎ̥" w:eastAsia="黑体" w:cs="宋体"/>
              <w:bCs/>
              <w:color w:val="000000"/>
              <w:kern w:val="0"/>
              <w:szCs w:val="44"/>
            </w:rPr>
            <w:fldChar w:fldCharType="end"/>
          </w:r>
        </w:p>
      </w:sdtContent>
    </w:sdt>
    <w:p w14:paraId="211EBC5C">
      <w:pPr>
        <w:pStyle w:val="2"/>
        <w:jc w:val="center"/>
      </w:pPr>
      <w:bookmarkStart w:id="0" w:name="_Toc18962"/>
      <w:r>
        <w:rPr>
          <w:rFonts w:hint="eastAsia"/>
        </w:rPr>
        <w:t>招标投标监督管理工作总则</w:t>
      </w:r>
      <w:bookmarkEnd w:id="0"/>
    </w:p>
    <w:p w14:paraId="54827FF5">
      <w:pPr>
        <w:widowControl/>
        <w:rPr>
          <w:rFonts w:hint="eastAsia" w:ascii="仿宋_GB2312" w:hAnsi="ˎ̥" w:eastAsia="仿宋_GB2312" w:cs="宋体"/>
          <w:bCs/>
          <w:color w:val="000000"/>
          <w:kern w:val="0"/>
          <w:sz w:val="32"/>
          <w:szCs w:val="32"/>
        </w:rPr>
      </w:pPr>
    </w:p>
    <w:p w14:paraId="6E1FBC6B">
      <w:pPr>
        <w:ind w:firstLine="660"/>
        <w:jc w:val="lef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根据沈阳市政府办公厅下发文件《沈阳市人民政府办公厅关于印发沈阳市城乡建设事务服务中心主要职责内设机构和人员编制规定的通知》（厅秘发【2018】7号）规定，沈阳市城乡建设事务服务中心建设工程招标投标事务部（以下简称招标部）职能为：为建设工程招投标管理提供服务保障与技术支持。</w:t>
      </w:r>
    </w:p>
    <w:p w14:paraId="0BBEAB52">
      <w:pPr>
        <w:widowControl/>
        <w:ind w:firstLine="643" w:firstLineChars="200"/>
        <w:rPr>
          <w:rFonts w:hint="eastAsia" w:ascii="仿宋_GB2312" w:hAnsi="ˎ̥" w:eastAsia="仿宋_GB2312" w:cs="宋体"/>
          <w:b/>
          <w:color w:val="000000"/>
          <w:kern w:val="0"/>
          <w:sz w:val="32"/>
          <w:szCs w:val="32"/>
        </w:rPr>
      </w:pPr>
      <w:r>
        <w:rPr>
          <w:rFonts w:hint="eastAsia" w:ascii="仿宋_GB2312" w:hAnsi="ˎ̥" w:eastAsia="仿宋_GB2312" w:cs="宋体"/>
          <w:b/>
          <w:color w:val="000000"/>
          <w:kern w:val="0"/>
          <w:sz w:val="32"/>
          <w:szCs w:val="32"/>
        </w:rPr>
        <w:t>一、管理权限及范围</w:t>
      </w:r>
    </w:p>
    <w:p w14:paraId="503293D2">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xml:space="preserve">（一）区域。按照《中共沈阳市委 </w:t>
      </w:r>
      <w:r>
        <w:rPr>
          <w:rFonts w:ascii="仿宋_GB2312" w:hAnsi="ˎ̥" w:eastAsia="仿宋_GB2312" w:cs="宋体"/>
          <w:color w:val="000000"/>
          <w:kern w:val="0"/>
          <w:sz w:val="32"/>
          <w:szCs w:val="32"/>
        </w:rPr>
        <w:t xml:space="preserve"> </w:t>
      </w:r>
      <w:r>
        <w:rPr>
          <w:rFonts w:hint="eastAsia" w:ascii="仿宋_GB2312" w:hAnsi="ˎ̥" w:eastAsia="仿宋_GB2312" w:cs="宋体"/>
          <w:color w:val="000000"/>
          <w:kern w:val="0"/>
          <w:sz w:val="32"/>
          <w:szCs w:val="32"/>
        </w:rPr>
        <w:t>沈阳市人民政府关于向城区下放经济管理权限的实施意见》（沈委发[2013</w:t>
      </w:r>
      <w:r>
        <w:rPr>
          <w:rFonts w:ascii="仿宋_GB2312" w:hAnsi="ˎ̥" w:eastAsia="仿宋_GB2312" w:cs="宋体"/>
          <w:color w:val="000000"/>
          <w:kern w:val="0"/>
          <w:sz w:val="32"/>
          <w:szCs w:val="32"/>
        </w:rPr>
        <w:t>]</w:t>
      </w:r>
      <w:r>
        <w:rPr>
          <w:rFonts w:hint="eastAsia" w:ascii="仿宋_GB2312" w:hAnsi="ˎ̥" w:eastAsia="仿宋_GB2312" w:cs="宋体"/>
          <w:color w:val="000000"/>
          <w:kern w:val="0"/>
          <w:sz w:val="32"/>
          <w:szCs w:val="32"/>
        </w:rPr>
        <w:t>14号）文件要求执行，具体为：市级以上（含市级）人民政府及其投资主管部门审批、核准、备案项目的招投标活动，由市级招投标监督部门负责监督；市级招投标监督部门监督范围之外的招投标活动，按照属地原则由项目所在地的区级招投标监督部门负责监督。</w:t>
      </w:r>
    </w:p>
    <w:p w14:paraId="55C8023C">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（二）范围。</w:t>
      </w:r>
      <w:r>
        <w:rPr>
          <w:rFonts w:ascii="仿宋_GB2312" w:hAnsi="ˎ̥" w:eastAsia="仿宋_GB2312" w:cs="宋体"/>
          <w:color w:val="000000"/>
          <w:kern w:val="0"/>
          <w:sz w:val="32"/>
          <w:szCs w:val="32"/>
        </w:rPr>
        <w:t>房屋建筑工程指各类房屋建筑及其附属设施和与其配套的线路、管道、设备安装工程及室内外装修工程。市政基础设施工程指城市道路、公共交通、供水、排水、燃气、热力、园林、环卫、污水处理、垃圾处理、防洪、地下公共设施及附属设施的土建、管道、设备安装工程。</w:t>
      </w:r>
    </w:p>
    <w:p w14:paraId="7CD662DD">
      <w:pPr>
        <w:widowControl/>
        <w:ind w:firstLine="627" w:firstLineChars="196"/>
        <w:rPr>
          <w:rFonts w:hint="eastAsia" w:ascii="仿宋_GB2312" w:hAnsi="ˎ̥" w:eastAsia="仿宋_GB2312" w:cs="宋体"/>
          <w:b/>
          <w:bCs/>
          <w:color w:val="000000"/>
          <w:kern w:val="0"/>
          <w:sz w:val="32"/>
          <w:szCs w:val="32"/>
        </w:rPr>
      </w:pPr>
      <w:r>
        <w:rPr>
          <w:rFonts w:hint="eastAsia" w:ascii="仿宋_GB2312" w:hAnsi="ˎ̥" w:eastAsia="仿宋_GB2312" w:cs="宋体"/>
          <w:color w:val="000000"/>
          <w:kern w:val="0"/>
          <w:sz w:val="32"/>
          <w:szCs w:val="32"/>
        </w:rPr>
        <w:t>（三）规模。前两款中所述的项目</w:t>
      </w:r>
      <w:r>
        <w:rPr>
          <w:rFonts w:ascii="仿宋_GB2312" w:hAnsi="ˎ̥" w:eastAsia="仿宋_GB2312" w:cs="宋体"/>
          <w:color w:val="000000"/>
          <w:kern w:val="0"/>
          <w:sz w:val="32"/>
          <w:szCs w:val="32"/>
        </w:rPr>
        <w:t>，包括项目的勘察、设计、施工、监理以及与工程有关的重要设备、材料采购等，施工单项合同估算价在</w:t>
      </w: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00万元人民币以上的；重要设备、材料等货物的采购，单项合同估算价在</w:t>
      </w:r>
      <w:r>
        <w:rPr>
          <w:rFonts w:hint="eastAsia" w:ascii="仿宋_GB2312" w:hAnsi="ˎ̥" w:eastAsia="仿宋_GB2312" w:cs="宋体"/>
          <w:color w:val="000000"/>
          <w:kern w:val="0"/>
          <w:sz w:val="32"/>
          <w:szCs w:val="32"/>
        </w:rPr>
        <w:t>200</w:t>
      </w:r>
      <w:r>
        <w:rPr>
          <w:rFonts w:ascii="仿宋_GB2312" w:hAnsi="ˎ̥" w:eastAsia="仿宋_GB2312" w:cs="宋体"/>
          <w:color w:val="000000"/>
          <w:kern w:val="0"/>
          <w:sz w:val="32"/>
          <w:szCs w:val="32"/>
        </w:rPr>
        <w:t>万元人民币以上的；勘察、设计、监理等服务的采购，单项合同估算价在</w:t>
      </w:r>
      <w:r>
        <w:rPr>
          <w:rFonts w:hint="eastAsia" w:ascii="仿宋_GB2312" w:hAnsi="ˎ̥" w:eastAsia="仿宋_GB2312" w:cs="宋体"/>
          <w:color w:val="000000"/>
          <w:kern w:val="0"/>
          <w:sz w:val="32"/>
          <w:szCs w:val="32"/>
        </w:rPr>
        <w:t>100</w:t>
      </w:r>
      <w:r>
        <w:rPr>
          <w:rFonts w:ascii="仿宋_GB2312" w:hAnsi="ˎ̥" w:eastAsia="仿宋_GB2312" w:cs="宋体"/>
          <w:color w:val="000000"/>
          <w:kern w:val="0"/>
          <w:sz w:val="32"/>
          <w:szCs w:val="32"/>
        </w:rPr>
        <w:t>万元人民币以上的</w:t>
      </w:r>
      <w:r>
        <w:rPr>
          <w:rFonts w:hint="eastAsia" w:ascii="仿宋_GB2312" w:hAnsi="ˎ̥" w:eastAsia="仿宋_GB2312" w:cs="宋体"/>
          <w:color w:val="000000"/>
          <w:kern w:val="0"/>
          <w:sz w:val="32"/>
          <w:szCs w:val="32"/>
        </w:rPr>
        <w:t>。</w:t>
      </w:r>
    </w:p>
    <w:p w14:paraId="678B47BB">
      <w:pPr>
        <w:widowControl/>
        <w:ind w:firstLine="630" w:firstLineChars="196"/>
        <w:rPr>
          <w:rFonts w:hint="eastAsia" w:ascii="仿宋_GB2312" w:hAnsi="ˎ̥" w:eastAsia="仿宋_GB2312" w:cs="宋体"/>
          <w:b/>
          <w:bCs/>
          <w:color w:val="000000"/>
          <w:kern w:val="0"/>
          <w:sz w:val="32"/>
          <w:szCs w:val="32"/>
        </w:rPr>
      </w:pPr>
      <w:r>
        <w:rPr>
          <w:rFonts w:hint="eastAsia" w:ascii="仿宋_GB2312" w:hAnsi="ˎ̥" w:eastAsia="仿宋_GB2312" w:cs="宋体"/>
          <w:b/>
          <w:bCs/>
          <w:color w:val="000000"/>
          <w:kern w:val="0"/>
          <w:sz w:val="32"/>
          <w:szCs w:val="32"/>
        </w:rPr>
        <w:t>二、主要管理工作工作制度</w:t>
      </w:r>
    </w:p>
    <w:p w14:paraId="44330EAD">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w:t>
      </w:r>
      <w:r>
        <w:rPr>
          <w:rFonts w:ascii="仿宋_GB2312" w:hAnsi="ˎ̥" w:eastAsia="仿宋_GB2312" w:cs="宋体"/>
          <w:color w:val="000000"/>
          <w:kern w:val="0"/>
          <w:sz w:val="32"/>
          <w:szCs w:val="32"/>
        </w:rPr>
        <w:t>自行办理招标</w:t>
      </w:r>
      <w:r>
        <w:rPr>
          <w:rFonts w:hint="eastAsia" w:ascii="仿宋_GB2312" w:hAnsi="ˎ̥" w:eastAsia="仿宋_GB2312" w:cs="宋体"/>
          <w:color w:val="000000"/>
          <w:kern w:val="0"/>
          <w:sz w:val="32"/>
          <w:szCs w:val="32"/>
        </w:rPr>
        <w:t>备案工作制度</w:t>
      </w:r>
    </w:p>
    <w:p w14:paraId="26BDCF8C">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（二）招标条件备案工作制度</w:t>
      </w:r>
    </w:p>
    <w:p w14:paraId="01D5D686">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（三）招标公告发布（投标邀请书发出）工作制度</w:t>
      </w:r>
    </w:p>
    <w:p w14:paraId="6FDF937D">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（四）资格预审文件备案工作制度</w:t>
      </w:r>
    </w:p>
    <w:p w14:paraId="1E5EEB97">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（五）资格预审结果备案工作制度</w:t>
      </w:r>
    </w:p>
    <w:p w14:paraId="62F31E29">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（六）招标文件备案工作制度</w:t>
      </w:r>
    </w:p>
    <w:p w14:paraId="3FB28D90">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（七）答疑纪要、澄清修改文件备案工作制度</w:t>
      </w:r>
    </w:p>
    <w:p w14:paraId="48E0593F">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（八）开评标现场监管工作制度</w:t>
      </w:r>
    </w:p>
    <w:p w14:paraId="441CBD30">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（九）定标备案工作制度</w:t>
      </w:r>
    </w:p>
    <w:p w14:paraId="4A59A274">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（十）中标公示管理工作制度</w:t>
      </w:r>
    </w:p>
    <w:p w14:paraId="6B8B09CD">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（十一）中标备案工作制度</w:t>
      </w:r>
    </w:p>
    <w:p w14:paraId="44D7B4EA">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（十二）投诉处理工作制度</w:t>
      </w:r>
    </w:p>
    <w:p w14:paraId="3BDEBEE7">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（十三）投标人信息库资料审核工作制度</w:t>
      </w:r>
    </w:p>
    <w:p w14:paraId="655222EA">
      <w:pPr>
        <w:widowControl/>
        <w:ind w:firstLine="630" w:firstLineChars="196"/>
        <w:rPr>
          <w:rFonts w:hint="eastAsia" w:ascii="仿宋_GB2312" w:hAnsi="ˎ̥" w:eastAsia="仿宋_GB2312" w:cs="宋体"/>
          <w:b/>
          <w:color w:val="000000"/>
          <w:kern w:val="0"/>
          <w:sz w:val="32"/>
          <w:szCs w:val="32"/>
        </w:rPr>
      </w:pPr>
    </w:p>
    <w:p w14:paraId="618C7BEE">
      <w:pPr>
        <w:widowControl/>
        <w:ind w:firstLine="411" w:firstLineChars="196"/>
      </w:pPr>
    </w:p>
    <w:p w14:paraId="526E7FA7">
      <w:pPr>
        <w:widowControl/>
        <w:rPr>
          <w:rFonts w:hint="eastAsia" w:ascii="黑体" w:hAnsi="ˎ̥" w:eastAsia="黑体" w:cs="宋体"/>
          <w:color w:val="000000"/>
          <w:kern w:val="0"/>
          <w:sz w:val="44"/>
          <w:szCs w:val="44"/>
        </w:rPr>
      </w:pPr>
    </w:p>
    <w:p w14:paraId="1FC76963">
      <w:pPr>
        <w:widowControl/>
        <w:rPr>
          <w:rFonts w:hint="eastAsia" w:ascii="黑体" w:hAnsi="ˎ̥" w:eastAsia="黑体" w:cs="宋体"/>
          <w:color w:val="000000"/>
          <w:kern w:val="0"/>
          <w:sz w:val="44"/>
          <w:szCs w:val="44"/>
        </w:rPr>
      </w:pPr>
    </w:p>
    <w:p w14:paraId="094C16CB">
      <w:pPr>
        <w:widowControl/>
        <w:rPr>
          <w:rFonts w:hint="eastAsia" w:ascii="黑体" w:hAnsi="ˎ̥" w:eastAsia="黑体" w:cs="宋体"/>
          <w:color w:val="000000"/>
          <w:kern w:val="0"/>
          <w:sz w:val="44"/>
          <w:szCs w:val="44"/>
        </w:rPr>
      </w:pPr>
    </w:p>
    <w:p w14:paraId="5EFA6471">
      <w:pPr>
        <w:widowControl/>
        <w:jc w:val="center"/>
        <w:rPr>
          <w:rFonts w:hint="eastAsia" w:ascii="黑体" w:hAnsi="ˎ̥" w:eastAsia="黑体" w:cs="宋体"/>
          <w:color w:val="000000"/>
          <w:kern w:val="0"/>
          <w:sz w:val="44"/>
          <w:szCs w:val="44"/>
        </w:rPr>
      </w:pPr>
    </w:p>
    <w:p w14:paraId="5C84F445">
      <w:pPr>
        <w:widowControl/>
        <w:jc w:val="center"/>
        <w:rPr>
          <w:rFonts w:hint="eastAsia" w:ascii="黑体" w:hAnsi="ˎ̥" w:eastAsia="黑体" w:cs="宋体"/>
          <w:color w:val="000000"/>
          <w:kern w:val="0"/>
          <w:sz w:val="44"/>
          <w:szCs w:val="44"/>
        </w:rPr>
      </w:pPr>
    </w:p>
    <w:p w14:paraId="38628221">
      <w:pPr>
        <w:pStyle w:val="2"/>
        <w:jc w:val="center"/>
      </w:pPr>
      <w:bookmarkStart w:id="1" w:name="_Toc15774"/>
      <w:r>
        <w:rPr>
          <w:rFonts w:hint="eastAsia"/>
        </w:rPr>
        <w:t>自行办理招标备案工作制度</w:t>
      </w:r>
      <w:bookmarkEnd w:id="1"/>
    </w:p>
    <w:p w14:paraId="280C0A75">
      <w:pPr>
        <w:widowControl/>
        <w:ind w:firstLine="640" w:firstLineChars="200"/>
        <w:rPr>
          <w:rFonts w:hint="eastAsia" w:ascii="仿宋_GB2312" w:hAnsi="ˎ̥" w:eastAsia="仿宋_GB2312" w:cs="宋体"/>
          <w:color w:val="000000"/>
          <w:kern w:val="0"/>
          <w:sz w:val="32"/>
          <w:szCs w:val="32"/>
        </w:rPr>
      </w:pPr>
    </w:p>
    <w:p w14:paraId="27D48710">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5097F35D">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1、具有</w:t>
      </w:r>
      <w:r>
        <w:rPr>
          <w:rFonts w:ascii="仿宋_GB2312" w:hAnsi="ˎ̥" w:eastAsia="仿宋_GB2312" w:cs="宋体"/>
          <w:color w:val="000000"/>
          <w:kern w:val="0"/>
          <w:sz w:val="32"/>
          <w:szCs w:val="32"/>
        </w:rPr>
        <w:t>项目法人资格或者法人资格</w:t>
      </w:r>
      <w:r>
        <w:rPr>
          <w:rFonts w:hint="eastAsia" w:ascii="仿宋_GB2312" w:hAnsi="ˎ̥" w:eastAsia="仿宋_GB2312" w:cs="宋体"/>
          <w:color w:val="000000"/>
          <w:kern w:val="0"/>
          <w:sz w:val="32"/>
          <w:szCs w:val="32"/>
        </w:rPr>
        <w:t>，有专门的施工招标组织机构，有与工程规模、复杂程度相适应并具有同类工程施工招标经验；</w:t>
      </w:r>
    </w:p>
    <w:p w14:paraId="76F03A1C">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有与招标项目规模和复杂程度相适应的工程技术、概预算、财务和工程管理等方面的专业技术力量，即招标人应当具有3名以上本单位的中级以上职称的工程技术经济人员，并熟悉和掌握招标投标有关法规，并且至少包括1名在本单位注册的造价工程师</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br w:type="textWrapping"/>
      </w:r>
      <w:r>
        <w:rPr>
          <w:rFonts w:hint="eastAsia" w:ascii="仿宋_GB2312" w:hAnsi="ˎ̥" w:eastAsia="仿宋_GB2312" w:cs="宋体"/>
          <w:color w:val="000000"/>
          <w:kern w:val="0"/>
          <w:sz w:val="32"/>
          <w:szCs w:val="32"/>
        </w:rPr>
        <w:t xml:space="preserve">    3、按照国家有关规定办理审批手续的各项批准文件；</w:t>
      </w:r>
    </w:p>
    <w:p w14:paraId="54AB60D4">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xml:space="preserve">4、法律、法规、规章规定的其他材料。    </w:t>
      </w:r>
    </w:p>
    <w:p w14:paraId="761705CE">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36EABCA3">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依法必须进行招标的工程项目，招标人自行办理施工招标事宜的，应当在发布招标公告或者发出投标邀请书的5日前，向</w:t>
      </w: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备案</w:t>
      </w:r>
      <w:r>
        <w:rPr>
          <w:rFonts w:hint="eastAsia" w:ascii="仿宋_GB2312" w:hAnsi="ˎ̥" w:eastAsia="仿宋_GB2312" w:cs="宋体"/>
          <w:color w:val="000000"/>
          <w:kern w:val="0"/>
          <w:sz w:val="32"/>
          <w:szCs w:val="32"/>
        </w:rPr>
        <w:t>；</w:t>
      </w:r>
    </w:p>
    <w:p w14:paraId="29C2E370">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2、招标部</w:t>
      </w:r>
      <w:r>
        <w:rPr>
          <w:rFonts w:ascii="仿宋_GB2312" w:hAnsi="ˎ̥" w:eastAsia="仿宋_GB2312" w:cs="宋体"/>
          <w:color w:val="000000"/>
          <w:kern w:val="0"/>
          <w:sz w:val="32"/>
          <w:szCs w:val="32"/>
        </w:rPr>
        <w:t>在收到招标人自行办理招标事宜的备案材料后，对照标准进行</w:t>
      </w:r>
      <w:r>
        <w:rPr>
          <w:rFonts w:hint="eastAsia" w:ascii="仿宋_GB2312" w:hAnsi="ˎ̥" w:eastAsia="仿宋_GB2312" w:cs="宋体"/>
          <w:color w:val="000000"/>
          <w:kern w:val="0"/>
          <w:sz w:val="32"/>
          <w:szCs w:val="32"/>
        </w:rPr>
        <w:t>审核，符合要求准予备案；</w:t>
      </w:r>
    </w:p>
    <w:p w14:paraId="3F187C12">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647493BD">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发现招标人不具备自行办理招标事宜的条件或者在备案材料中弄虚作假的，应当依法责令其改正，并且要求其委托具有相应资格的工程建设项目招标代理机构代理招标。</w:t>
      </w:r>
    </w:p>
    <w:p w14:paraId="4AB00569">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276C56C1">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备案事项</w:t>
      </w:r>
    </w:p>
    <w:p w14:paraId="50F09A9C">
      <w:pPr>
        <w:pStyle w:val="2"/>
        <w:jc w:val="center"/>
      </w:pPr>
      <w:bookmarkStart w:id="2" w:name="_Toc27827"/>
      <w:r>
        <w:rPr>
          <w:rFonts w:hint="eastAsia"/>
        </w:rPr>
        <w:t>招标条件备案工作制度</w:t>
      </w:r>
      <w:bookmarkEnd w:id="2"/>
    </w:p>
    <w:p w14:paraId="63C78262">
      <w:pPr>
        <w:widowControl/>
        <w:ind w:firstLine="640" w:firstLineChars="200"/>
        <w:rPr>
          <w:rFonts w:hint="eastAsia" w:ascii="仿宋_GB2312" w:hAnsi="ˎ̥" w:eastAsia="仿宋_GB2312" w:cs="宋体"/>
          <w:color w:val="000000"/>
          <w:kern w:val="0"/>
          <w:sz w:val="32"/>
          <w:szCs w:val="32"/>
        </w:rPr>
      </w:pPr>
    </w:p>
    <w:p w14:paraId="3B06782E">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2DE5FE38">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（一）施工招标</w:t>
      </w:r>
    </w:p>
    <w:p w14:paraId="446A12CE">
      <w:pPr>
        <w:widowControl/>
        <w:ind w:left="638" w:leftChars="304"/>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 xml:space="preserve">招标人已经依法成立； </w:t>
      </w:r>
      <w:r>
        <w:rPr>
          <w:rFonts w:ascii="仿宋_GB2312" w:hAnsi="ˎ̥" w:eastAsia="仿宋_GB2312" w:cs="宋体"/>
          <w:color w:val="000000"/>
          <w:kern w:val="0"/>
          <w:sz w:val="32"/>
          <w:szCs w:val="32"/>
        </w:rPr>
        <w:br w:type="textWrapping"/>
      </w: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初步设计及概算应当履行审批手续的，已经批准；</w:t>
      </w:r>
      <w:r>
        <w:rPr>
          <w:rFonts w:ascii="仿宋_GB2312" w:hAnsi="ˎ̥" w:eastAsia="仿宋_GB2312" w:cs="宋体"/>
          <w:color w:val="000000"/>
          <w:kern w:val="0"/>
          <w:sz w:val="32"/>
          <w:szCs w:val="32"/>
        </w:rPr>
        <w:br w:type="textWrapping"/>
      </w:r>
      <w:r>
        <w:rPr>
          <w:rFonts w:hint="eastAsia" w:ascii="仿宋_GB2312" w:hAnsi="ˎ̥" w:eastAsia="仿宋_GB2312" w:cs="宋体"/>
          <w:color w:val="000000"/>
          <w:kern w:val="0"/>
          <w:sz w:val="32"/>
          <w:szCs w:val="32"/>
        </w:rPr>
        <w:t>3、土地征用手续；</w:t>
      </w:r>
    </w:p>
    <w:p w14:paraId="025E7C0D">
      <w:pPr>
        <w:widowControl/>
        <w:ind w:left="638" w:leftChars="304"/>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招标范围、招标方式和招标组织形式等应当履行核准手</w:t>
      </w:r>
    </w:p>
    <w:p w14:paraId="2E7ECE06">
      <w:pPr>
        <w:widowControl/>
        <w:ind w:left="640" w:hanging="640" w:hangingChars="200"/>
        <w:rPr>
          <w:rFonts w:hint="eastAsia" w:ascii="仿宋_GB2312" w:hAnsi="ˎ̥" w:eastAsia="仿宋_GB2312" w:cs="宋体"/>
          <w:color w:val="000000"/>
          <w:kern w:val="0"/>
          <w:sz w:val="32"/>
          <w:szCs w:val="32"/>
        </w:rPr>
      </w:pPr>
      <w:r>
        <w:rPr>
          <w:rFonts w:ascii="仿宋_GB2312" w:hAnsi="ˎ̥" w:eastAsia="仿宋_GB2312" w:cs="宋体"/>
          <w:color w:val="000000"/>
          <w:kern w:val="0"/>
          <w:sz w:val="32"/>
          <w:szCs w:val="32"/>
        </w:rPr>
        <w:t>续的，已经核准；</w:t>
      </w:r>
      <w:r>
        <w:rPr>
          <w:rFonts w:ascii="仿宋_GB2312" w:hAnsi="ˎ̥" w:eastAsia="仿宋_GB2312" w:cs="宋体"/>
          <w:color w:val="000000"/>
          <w:kern w:val="0"/>
          <w:sz w:val="32"/>
          <w:szCs w:val="32"/>
        </w:rPr>
        <w:br w:type="textWrapping"/>
      </w:r>
      <w:r>
        <w:rPr>
          <w:rFonts w:hint="eastAsia" w:ascii="仿宋_GB2312" w:hAnsi="ˎ̥" w:eastAsia="仿宋_GB2312" w:cs="宋体"/>
          <w:color w:val="000000"/>
          <w:kern w:val="0"/>
          <w:sz w:val="32"/>
          <w:szCs w:val="32"/>
        </w:rPr>
        <w:t>5、工程规划手续；</w:t>
      </w:r>
    </w:p>
    <w:p w14:paraId="58DCC6CE">
      <w:pPr>
        <w:widowControl/>
        <w:ind w:left="638" w:leftChars="304"/>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6、</w:t>
      </w:r>
      <w:r>
        <w:rPr>
          <w:rFonts w:ascii="仿宋_GB2312" w:hAnsi="ˎ̥" w:eastAsia="仿宋_GB2312" w:cs="宋体"/>
          <w:color w:val="000000"/>
          <w:kern w:val="0"/>
          <w:sz w:val="32"/>
          <w:szCs w:val="32"/>
        </w:rPr>
        <w:t>有相应资金或资金来源已经落实；</w:t>
      </w:r>
      <w:r>
        <w:rPr>
          <w:rFonts w:ascii="仿宋_GB2312" w:hAnsi="ˎ̥" w:eastAsia="仿宋_GB2312" w:cs="宋体"/>
          <w:color w:val="000000"/>
          <w:kern w:val="0"/>
          <w:sz w:val="32"/>
          <w:szCs w:val="32"/>
        </w:rPr>
        <w:br w:type="textWrapping"/>
      </w:r>
      <w:r>
        <w:rPr>
          <w:rFonts w:hint="eastAsia" w:ascii="仿宋_GB2312" w:hAnsi="ˎ̥" w:eastAsia="仿宋_GB2312" w:cs="宋体"/>
          <w:color w:val="000000"/>
          <w:kern w:val="0"/>
          <w:sz w:val="32"/>
          <w:szCs w:val="32"/>
        </w:rPr>
        <w:t>7、</w:t>
      </w:r>
      <w:r>
        <w:rPr>
          <w:rFonts w:ascii="仿宋_GB2312" w:hAnsi="ˎ̥" w:eastAsia="仿宋_GB2312" w:cs="宋体"/>
          <w:color w:val="000000"/>
          <w:kern w:val="0"/>
          <w:sz w:val="32"/>
          <w:szCs w:val="32"/>
        </w:rPr>
        <w:t>有招标所需的设计图纸及技术资料</w:t>
      </w:r>
      <w:r>
        <w:rPr>
          <w:rFonts w:hint="eastAsia" w:ascii="仿宋_GB2312" w:hAnsi="ˎ̥" w:eastAsia="仿宋_GB2312" w:cs="宋体"/>
          <w:color w:val="000000"/>
          <w:kern w:val="0"/>
          <w:sz w:val="32"/>
          <w:szCs w:val="32"/>
        </w:rPr>
        <w:t>；</w:t>
      </w:r>
    </w:p>
    <w:p w14:paraId="6A9F28AC">
      <w:pPr>
        <w:widowControl/>
        <w:ind w:left="640" w:hanging="640" w:hanging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xml:space="preserve">    8、招标组织机构人员证明材料（委托代理合同）。</w:t>
      </w:r>
    </w:p>
    <w:p w14:paraId="28EE369A">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（二）勘察设计招标</w:t>
      </w:r>
    </w:p>
    <w:p w14:paraId="01EA1E82">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按照国家有关规定需要履行项目审批手续的，已履行审批手续，取得批准。</w:t>
      </w:r>
    </w:p>
    <w:p w14:paraId="0A20FF3B">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勘察设计所需资金已经落实。</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　　</w:t>
      </w: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所必需的勘察设计基础资料已经收集完成。</w:t>
      </w:r>
    </w:p>
    <w:p w14:paraId="16373D82">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法律法规规定的其他条件。</w:t>
      </w:r>
    </w:p>
    <w:p w14:paraId="18F6CA6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（三）货物招标</w:t>
      </w:r>
    </w:p>
    <w:p w14:paraId="2A8C6BFD">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招标人已经依法成立；</w:t>
      </w:r>
    </w:p>
    <w:p w14:paraId="542B016D">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按照国家有关规定应当履行项目审批、核准或者备案手续的，已经审批、核准或者备案；</w:t>
      </w:r>
    </w:p>
    <w:p w14:paraId="700F2EDD">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有相应资金或者资金来源已经落实；</w:t>
      </w:r>
    </w:p>
    <w:p w14:paraId="59724F9E">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能够提出货物的使用与技术要求。</w:t>
      </w:r>
    </w:p>
    <w:p w14:paraId="0C8AB37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3917956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1、招标人或其委托的招标代理机构向招标部提交招标条件备案所需各项要件；</w:t>
      </w:r>
    </w:p>
    <w:p w14:paraId="0E4B395C">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2、招标部核查各项要件并进行项目注册，符合要求后准予备案；</w:t>
      </w:r>
    </w:p>
    <w:p w14:paraId="60B2196B">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3、对于施工招标条件的备案事项，还须招标部进行现场勘查并对现场勘查情况拍照、录像，出具《现场勘查记录表》，现场勘查符合要求后准予备案。</w:t>
      </w:r>
    </w:p>
    <w:p w14:paraId="69FDC57C">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62C1076D">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施工、勘查设计、货物招标条件要件不全或</w:t>
      </w:r>
      <w:r>
        <w:rPr>
          <w:rFonts w:ascii="仿宋_GB2312" w:hAnsi="ˎ̥" w:eastAsia="仿宋_GB2312" w:cs="宋体"/>
          <w:color w:val="000000"/>
          <w:kern w:val="0"/>
          <w:sz w:val="32"/>
          <w:szCs w:val="32"/>
        </w:rPr>
        <w:t>有违反法律、法规内容的，应当责令招标人或其委托的招标代理机构改正。</w:t>
      </w:r>
    </w:p>
    <w:p w14:paraId="2236CE38">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招标人或其委托的招标代理机构不具备招标条件而进行招标的</w:t>
      </w: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责令其限期改正，根据情节可处三万元以下的罚款</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t>情节严重的，招标无效</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t>被认定为招标无效的，应当重新招标。</w:t>
      </w:r>
    </w:p>
    <w:p w14:paraId="62655E85">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2A430849">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备案事项</w:t>
      </w:r>
    </w:p>
    <w:p w14:paraId="46DFEB1B">
      <w:pPr>
        <w:widowControl/>
        <w:ind w:firstLine="640" w:firstLineChars="200"/>
        <w:rPr>
          <w:rFonts w:hint="eastAsia" w:ascii="仿宋_GB2312" w:hAnsi="ˎ̥" w:eastAsia="仿宋_GB2312" w:cs="宋体"/>
          <w:color w:val="000000"/>
          <w:kern w:val="0"/>
          <w:sz w:val="32"/>
          <w:szCs w:val="32"/>
        </w:rPr>
      </w:pPr>
    </w:p>
    <w:p w14:paraId="62E3524B">
      <w:pPr>
        <w:widowControl/>
        <w:ind w:firstLine="640" w:firstLineChars="200"/>
        <w:rPr>
          <w:rFonts w:hint="eastAsia" w:ascii="仿宋_GB2312" w:hAnsi="ˎ̥" w:eastAsia="仿宋_GB2312" w:cs="宋体"/>
          <w:color w:val="000000"/>
          <w:kern w:val="0"/>
          <w:sz w:val="32"/>
          <w:szCs w:val="32"/>
        </w:rPr>
      </w:pPr>
    </w:p>
    <w:p w14:paraId="44E2D7D5">
      <w:pPr>
        <w:widowControl/>
        <w:ind w:firstLine="640" w:firstLineChars="200"/>
        <w:rPr>
          <w:rFonts w:hint="eastAsia" w:ascii="仿宋_GB2312" w:hAnsi="ˎ̥" w:eastAsia="仿宋_GB2312" w:cs="宋体"/>
          <w:color w:val="000000"/>
          <w:kern w:val="0"/>
          <w:sz w:val="32"/>
          <w:szCs w:val="32"/>
        </w:rPr>
      </w:pPr>
    </w:p>
    <w:p w14:paraId="68AB91A3">
      <w:pPr>
        <w:widowControl/>
        <w:rPr>
          <w:rFonts w:hint="eastAsia" w:ascii="仿宋_GB2312" w:hAnsi="ˎ̥" w:eastAsia="仿宋_GB2312" w:cs="宋体"/>
          <w:color w:val="000000"/>
          <w:kern w:val="0"/>
          <w:sz w:val="32"/>
          <w:szCs w:val="32"/>
        </w:rPr>
      </w:pPr>
    </w:p>
    <w:p w14:paraId="537DC216">
      <w:pPr>
        <w:pStyle w:val="2"/>
        <w:jc w:val="center"/>
      </w:pPr>
      <w:bookmarkStart w:id="3" w:name="_Toc17525"/>
      <w:r>
        <w:rPr>
          <w:rFonts w:hint="eastAsia"/>
        </w:rPr>
        <w:t>招标公告发布（投标邀请书发出）工作制度</w:t>
      </w:r>
      <w:bookmarkEnd w:id="3"/>
    </w:p>
    <w:p w14:paraId="0433207E">
      <w:pPr>
        <w:widowControl/>
        <w:rPr>
          <w:rFonts w:hint="eastAsia" w:ascii="仿宋_GB2312" w:hAnsi="ˎ̥" w:eastAsia="仿宋_GB2312" w:cs="宋体"/>
          <w:color w:val="000000"/>
          <w:kern w:val="0"/>
          <w:sz w:val="32"/>
          <w:szCs w:val="32"/>
        </w:rPr>
      </w:pPr>
    </w:p>
    <w:p w14:paraId="588654A5">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59789E5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（一）具备招标条件备案所需要的相关要件；</w:t>
      </w:r>
    </w:p>
    <w:p w14:paraId="2E439D17">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w:t>
      </w:r>
      <w:r>
        <w:rPr>
          <w:rFonts w:ascii="仿宋_GB2312" w:hAnsi="ˎ̥" w:eastAsia="仿宋_GB2312" w:cs="宋体"/>
          <w:color w:val="000000"/>
          <w:kern w:val="0"/>
          <w:sz w:val="32"/>
          <w:szCs w:val="32"/>
        </w:rPr>
        <w:t>招标公告</w:t>
      </w:r>
      <w:r>
        <w:rPr>
          <w:rFonts w:hint="eastAsia" w:ascii="仿宋_GB2312" w:hAnsi="ˎ̥" w:eastAsia="仿宋_GB2312" w:cs="宋体"/>
          <w:color w:val="000000"/>
          <w:kern w:val="0"/>
          <w:sz w:val="32"/>
          <w:szCs w:val="32"/>
        </w:rPr>
        <w:t>或投标邀请书</w:t>
      </w:r>
      <w:r>
        <w:rPr>
          <w:rFonts w:ascii="仿宋_GB2312" w:hAnsi="ˎ̥" w:eastAsia="仿宋_GB2312" w:cs="宋体"/>
          <w:color w:val="000000"/>
          <w:kern w:val="0"/>
          <w:sz w:val="32"/>
          <w:szCs w:val="32"/>
        </w:rPr>
        <w:t>内容</w:t>
      </w:r>
      <w:r>
        <w:rPr>
          <w:rFonts w:hint="eastAsia" w:ascii="仿宋_GB2312" w:hAnsi="ˎ̥" w:eastAsia="仿宋_GB2312" w:cs="宋体"/>
          <w:color w:val="000000"/>
          <w:kern w:val="0"/>
          <w:sz w:val="32"/>
          <w:szCs w:val="32"/>
        </w:rPr>
        <w:t>符合法律法规规定的格式：</w:t>
      </w:r>
    </w:p>
    <w:p w14:paraId="21ADE9B6">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1、施工、勘察设计招标公告或投标邀请书一般应包括如下内容</w:t>
      </w:r>
      <w:r>
        <w:rPr>
          <w:rFonts w:ascii="仿宋_GB2312" w:hAnsi="ˎ̥" w:eastAsia="仿宋_GB2312" w:cs="宋体"/>
          <w:color w:val="000000"/>
          <w:kern w:val="0"/>
          <w:sz w:val="32"/>
          <w:szCs w:val="32"/>
        </w:rPr>
        <w:t>：招标人的名称和地址；招标项目的内容、规模、资金来源；招标项目的实施地点和工期；获取招标文件或者资格预审文件的地点和时间；对投标人资质等级的要求。</w:t>
      </w:r>
    </w:p>
    <w:p w14:paraId="699E87E8">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2、货物招标公告或投标邀请书一般应包括如下内容</w:t>
      </w:r>
      <w:r>
        <w:rPr>
          <w:rFonts w:ascii="仿宋_GB2312" w:hAnsi="ˎ̥" w:eastAsia="仿宋_GB2312" w:cs="宋体"/>
          <w:color w:val="000000"/>
          <w:kern w:val="0"/>
          <w:sz w:val="32"/>
          <w:szCs w:val="32"/>
        </w:rPr>
        <w:t>：招标人的名称和地址；招标货物的名称、数量、技术规格、资金来源；交货的地点和时间；获取招标文件或者资格预审文件的地点和时间；提交资格预审申请书或者投标文件的地点和截止日期；对投标人的资格要求。</w:t>
      </w:r>
    </w:p>
    <w:p w14:paraId="2E5F8AEF">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3A8C865D">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1、依法必须进行</w:t>
      </w:r>
      <w:r>
        <w:rPr>
          <w:rFonts w:ascii="仿宋_GB2312" w:hAnsi="ˎ̥" w:eastAsia="仿宋_GB2312" w:cs="宋体"/>
          <w:color w:val="000000"/>
          <w:kern w:val="0"/>
          <w:sz w:val="32"/>
          <w:szCs w:val="32"/>
        </w:rPr>
        <w:t>招标的</w:t>
      </w:r>
      <w:r>
        <w:rPr>
          <w:rFonts w:hint="eastAsia" w:ascii="仿宋_GB2312" w:hAnsi="ˎ̥" w:eastAsia="仿宋_GB2312" w:cs="宋体"/>
          <w:color w:val="000000"/>
          <w:kern w:val="0"/>
          <w:sz w:val="32"/>
          <w:szCs w:val="32"/>
        </w:rPr>
        <w:t>工程建设项目</w:t>
      </w:r>
      <w:r>
        <w:rPr>
          <w:rFonts w:ascii="仿宋_GB2312" w:hAnsi="ˎ̥" w:eastAsia="仿宋_GB2312" w:cs="宋体"/>
          <w:color w:val="000000"/>
          <w:kern w:val="0"/>
          <w:sz w:val="32"/>
          <w:szCs w:val="32"/>
        </w:rPr>
        <w:t>，</w:t>
      </w:r>
      <w:r>
        <w:rPr>
          <w:rFonts w:hint="eastAsia" w:ascii="仿宋_GB2312" w:hAnsi="ˎ̥" w:eastAsia="仿宋_GB2312" w:cs="宋体"/>
          <w:color w:val="000000"/>
          <w:kern w:val="0"/>
          <w:sz w:val="32"/>
          <w:szCs w:val="32"/>
        </w:rPr>
        <w:t>招标人或其委托的招标代理机构完成招标条件备案后自行发布招标公告或发出投标邀请书；</w:t>
      </w:r>
    </w:p>
    <w:p w14:paraId="64BA84FD">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采用公开招标方式的，招标人或其委托的招标代理机构，必须按规定在</w:t>
      </w:r>
      <w:r>
        <w:rPr>
          <w:rFonts w:hint="eastAsia" w:ascii="仿宋_GB2312" w:hAnsi="ˎ̥" w:eastAsia="仿宋_GB2312" w:cs="宋体"/>
          <w:color w:val="000000"/>
          <w:kern w:val="0"/>
          <w:sz w:val="32"/>
          <w:szCs w:val="32"/>
        </w:rPr>
        <w:t>辽宁省建设工程信息网</w:t>
      </w:r>
      <w:r>
        <w:rPr>
          <w:rFonts w:ascii="仿宋_GB2312" w:hAnsi="ˎ̥" w:eastAsia="仿宋_GB2312" w:cs="宋体"/>
          <w:color w:val="000000"/>
          <w:kern w:val="0"/>
          <w:sz w:val="32"/>
          <w:szCs w:val="32"/>
        </w:rPr>
        <w:t>发布招标公告。国家或省另有规定的，应当同时在国家或省指定的媒介上进行公告。</w:t>
      </w:r>
    </w:p>
    <w:p w14:paraId="1EE5C211">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采用邀请招标方式的，招标人应当向三家以上具备承担施工招标项目的能力、资信良好的特定的法人或者其他组织发出投标邀请书。</w:t>
      </w:r>
    </w:p>
    <w:p w14:paraId="6F60D85F">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20A8AF61">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招标公告或投标邀请书</w:t>
      </w:r>
      <w:r>
        <w:rPr>
          <w:rFonts w:ascii="仿宋_GB2312" w:hAnsi="ˎ̥" w:eastAsia="仿宋_GB2312" w:cs="宋体"/>
          <w:color w:val="000000"/>
          <w:kern w:val="0"/>
          <w:sz w:val="32"/>
          <w:szCs w:val="32"/>
        </w:rPr>
        <w:t>有违反法律、法规内容的，应当责令招标人或其委托的招标代理机构改正。</w:t>
      </w:r>
      <w:r>
        <w:rPr>
          <w:rFonts w:ascii="仿宋_GB2312" w:hAnsi="ˎ̥" w:eastAsia="仿宋_GB2312" w:cs="宋体"/>
          <w:color w:val="000000"/>
          <w:kern w:val="0"/>
          <w:sz w:val="32"/>
          <w:szCs w:val="32"/>
        </w:rPr>
        <w:br w:type="textWrapping"/>
      </w:r>
      <w:r>
        <w:rPr>
          <w:rFonts w:hint="eastAsia" w:ascii="仿宋_GB2312" w:hAnsi="ˎ̥" w:eastAsia="仿宋_GB2312" w:cs="宋体"/>
          <w:color w:val="000000"/>
          <w:kern w:val="0"/>
          <w:sz w:val="32"/>
          <w:szCs w:val="32"/>
        </w:rPr>
        <w:t xml:space="preserve">    四、管理类别</w:t>
      </w:r>
    </w:p>
    <w:p w14:paraId="41E99242">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事中、事后监管事项</w:t>
      </w:r>
    </w:p>
    <w:p w14:paraId="23908954">
      <w:pPr>
        <w:widowControl/>
        <w:ind w:firstLine="640" w:firstLineChars="200"/>
        <w:rPr>
          <w:rFonts w:hint="eastAsia" w:ascii="仿宋_GB2312" w:hAnsi="ˎ̥" w:eastAsia="仿宋_GB2312" w:cs="宋体"/>
          <w:color w:val="000000"/>
          <w:kern w:val="0"/>
          <w:sz w:val="32"/>
          <w:szCs w:val="32"/>
        </w:rPr>
      </w:pPr>
    </w:p>
    <w:p w14:paraId="390E62EF">
      <w:pPr>
        <w:widowControl/>
        <w:ind w:firstLine="640" w:firstLineChars="200"/>
        <w:rPr>
          <w:rFonts w:hint="eastAsia" w:ascii="仿宋_GB2312" w:hAnsi="ˎ̥" w:eastAsia="仿宋_GB2312" w:cs="宋体"/>
          <w:color w:val="000000"/>
          <w:kern w:val="0"/>
          <w:sz w:val="32"/>
          <w:szCs w:val="32"/>
        </w:rPr>
      </w:pPr>
    </w:p>
    <w:p w14:paraId="43DF5A96">
      <w:pPr>
        <w:widowControl/>
        <w:ind w:firstLine="640" w:firstLineChars="200"/>
        <w:rPr>
          <w:rFonts w:hint="eastAsia" w:ascii="仿宋_GB2312" w:hAnsi="ˎ̥" w:eastAsia="仿宋_GB2312" w:cs="宋体"/>
          <w:color w:val="000000"/>
          <w:kern w:val="0"/>
          <w:sz w:val="32"/>
          <w:szCs w:val="32"/>
        </w:rPr>
      </w:pPr>
    </w:p>
    <w:p w14:paraId="22F32D62">
      <w:pPr>
        <w:widowControl/>
        <w:ind w:firstLine="640" w:firstLineChars="200"/>
        <w:rPr>
          <w:rFonts w:hint="eastAsia" w:ascii="仿宋_GB2312" w:hAnsi="ˎ̥" w:eastAsia="仿宋_GB2312" w:cs="宋体"/>
          <w:color w:val="000000"/>
          <w:kern w:val="0"/>
          <w:sz w:val="32"/>
          <w:szCs w:val="32"/>
        </w:rPr>
      </w:pPr>
    </w:p>
    <w:p w14:paraId="5918A647">
      <w:pPr>
        <w:widowControl/>
        <w:ind w:firstLine="640" w:firstLineChars="200"/>
        <w:rPr>
          <w:rFonts w:hint="eastAsia" w:ascii="仿宋_GB2312" w:hAnsi="ˎ̥" w:eastAsia="仿宋_GB2312" w:cs="宋体"/>
          <w:color w:val="000000"/>
          <w:kern w:val="0"/>
          <w:sz w:val="32"/>
          <w:szCs w:val="32"/>
        </w:rPr>
      </w:pPr>
    </w:p>
    <w:p w14:paraId="75E6324A">
      <w:pPr>
        <w:widowControl/>
        <w:ind w:firstLine="640" w:firstLineChars="200"/>
        <w:rPr>
          <w:rFonts w:hint="eastAsia" w:ascii="仿宋_GB2312" w:hAnsi="ˎ̥" w:eastAsia="仿宋_GB2312" w:cs="宋体"/>
          <w:color w:val="000000"/>
          <w:kern w:val="0"/>
          <w:sz w:val="32"/>
          <w:szCs w:val="32"/>
        </w:rPr>
      </w:pPr>
    </w:p>
    <w:p w14:paraId="00E519B6">
      <w:pPr>
        <w:widowControl/>
        <w:ind w:firstLine="640" w:firstLineChars="200"/>
        <w:rPr>
          <w:rFonts w:hint="eastAsia" w:ascii="仿宋_GB2312" w:hAnsi="ˎ̥" w:eastAsia="仿宋_GB2312" w:cs="宋体"/>
          <w:color w:val="000000"/>
          <w:kern w:val="0"/>
          <w:sz w:val="32"/>
          <w:szCs w:val="32"/>
        </w:rPr>
      </w:pPr>
    </w:p>
    <w:p w14:paraId="7F5B4DB6">
      <w:pPr>
        <w:widowControl/>
        <w:ind w:firstLine="640" w:firstLineChars="200"/>
        <w:rPr>
          <w:rFonts w:hint="eastAsia" w:ascii="仿宋_GB2312" w:hAnsi="ˎ̥" w:eastAsia="仿宋_GB2312" w:cs="宋体"/>
          <w:color w:val="000000"/>
          <w:kern w:val="0"/>
          <w:sz w:val="32"/>
          <w:szCs w:val="32"/>
        </w:rPr>
      </w:pPr>
    </w:p>
    <w:p w14:paraId="43262A5A">
      <w:pPr>
        <w:widowControl/>
        <w:ind w:firstLine="640" w:firstLineChars="200"/>
        <w:rPr>
          <w:rFonts w:hint="eastAsia" w:ascii="仿宋_GB2312" w:hAnsi="ˎ̥" w:eastAsia="仿宋_GB2312" w:cs="宋体"/>
          <w:color w:val="000000"/>
          <w:kern w:val="0"/>
          <w:sz w:val="32"/>
          <w:szCs w:val="32"/>
        </w:rPr>
      </w:pPr>
    </w:p>
    <w:p w14:paraId="44267C1A">
      <w:pPr>
        <w:widowControl/>
        <w:ind w:firstLine="640" w:firstLineChars="200"/>
        <w:rPr>
          <w:rFonts w:hint="eastAsia" w:ascii="仿宋_GB2312" w:hAnsi="ˎ̥" w:eastAsia="仿宋_GB2312" w:cs="宋体"/>
          <w:color w:val="000000"/>
          <w:kern w:val="0"/>
          <w:sz w:val="32"/>
          <w:szCs w:val="32"/>
        </w:rPr>
      </w:pPr>
    </w:p>
    <w:p w14:paraId="1C117527">
      <w:pPr>
        <w:widowControl/>
        <w:ind w:firstLine="640" w:firstLineChars="200"/>
        <w:rPr>
          <w:rFonts w:hint="eastAsia" w:ascii="仿宋_GB2312" w:hAnsi="ˎ̥" w:eastAsia="仿宋_GB2312" w:cs="宋体"/>
          <w:color w:val="000000"/>
          <w:kern w:val="0"/>
          <w:sz w:val="32"/>
          <w:szCs w:val="32"/>
        </w:rPr>
      </w:pPr>
    </w:p>
    <w:p w14:paraId="577BC5D4">
      <w:pPr>
        <w:widowControl/>
        <w:ind w:firstLine="640" w:firstLineChars="200"/>
        <w:rPr>
          <w:rFonts w:hint="eastAsia" w:ascii="仿宋_GB2312" w:hAnsi="ˎ̥" w:eastAsia="仿宋_GB2312" w:cs="宋体"/>
          <w:color w:val="000000"/>
          <w:kern w:val="0"/>
          <w:sz w:val="32"/>
          <w:szCs w:val="32"/>
        </w:rPr>
      </w:pPr>
    </w:p>
    <w:p w14:paraId="703458B5">
      <w:pPr>
        <w:widowControl/>
        <w:ind w:firstLine="640" w:firstLineChars="200"/>
        <w:rPr>
          <w:rFonts w:hint="eastAsia" w:ascii="仿宋_GB2312" w:hAnsi="ˎ̥" w:eastAsia="仿宋_GB2312" w:cs="宋体"/>
          <w:color w:val="000000"/>
          <w:kern w:val="0"/>
          <w:sz w:val="32"/>
          <w:szCs w:val="32"/>
        </w:rPr>
      </w:pPr>
    </w:p>
    <w:p w14:paraId="69606C26">
      <w:pPr>
        <w:widowControl/>
        <w:ind w:firstLine="640" w:firstLineChars="200"/>
        <w:rPr>
          <w:rFonts w:hint="eastAsia" w:ascii="仿宋_GB2312" w:hAnsi="ˎ̥" w:eastAsia="仿宋_GB2312" w:cs="宋体"/>
          <w:color w:val="000000"/>
          <w:kern w:val="0"/>
          <w:sz w:val="32"/>
          <w:szCs w:val="32"/>
        </w:rPr>
      </w:pPr>
    </w:p>
    <w:p w14:paraId="142718B2">
      <w:pPr>
        <w:widowControl/>
        <w:ind w:firstLine="640" w:firstLineChars="200"/>
        <w:rPr>
          <w:rFonts w:hint="eastAsia" w:ascii="仿宋_GB2312" w:hAnsi="ˎ̥" w:eastAsia="仿宋_GB2312" w:cs="宋体"/>
          <w:color w:val="000000"/>
          <w:kern w:val="0"/>
          <w:sz w:val="32"/>
          <w:szCs w:val="32"/>
        </w:rPr>
      </w:pPr>
    </w:p>
    <w:p w14:paraId="1764F3AB">
      <w:pPr>
        <w:widowControl/>
        <w:rPr>
          <w:rFonts w:hint="eastAsia" w:ascii="仿宋_GB2312" w:hAnsi="ˎ̥" w:eastAsia="仿宋_GB2312" w:cs="宋体"/>
          <w:color w:val="000000"/>
          <w:kern w:val="0"/>
          <w:sz w:val="32"/>
          <w:szCs w:val="32"/>
        </w:rPr>
      </w:pPr>
    </w:p>
    <w:p w14:paraId="19D3ADA2">
      <w:pPr>
        <w:pStyle w:val="2"/>
        <w:jc w:val="center"/>
      </w:pPr>
      <w:bookmarkStart w:id="4" w:name="_Toc18337"/>
      <w:r>
        <w:rPr>
          <w:rFonts w:hint="eastAsia"/>
        </w:rPr>
        <w:t>资格预审文件备案工作制度</w:t>
      </w:r>
      <w:bookmarkEnd w:id="4"/>
    </w:p>
    <w:p w14:paraId="1128BE32">
      <w:pPr>
        <w:widowControl/>
        <w:ind w:firstLine="640" w:firstLineChars="200"/>
        <w:rPr>
          <w:rFonts w:hint="eastAsia" w:ascii="仿宋_GB2312" w:hAnsi="ˎ̥" w:eastAsia="仿宋_GB2312" w:cs="宋体"/>
          <w:color w:val="000000"/>
          <w:kern w:val="0"/>
          <w:sz w:val="32"/>
          <w:szCs w:val="32"/>
        </w:rPr>
      </w:pPr>
    </w:p>
    <w:p w14:paraId="4FF3B36E">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153CB3A9">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（一）资格预审公告已发布；</w:t>
      </w:r>
    </w:p>
    <w:p w14:paraId="6FAD69FA">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w:t>
      </w:r>
      <w:r>
        <w:rPr>
          <w:rFonts w:ascii="仿宋_GB2312" w:hAnsi="ˎ̥" w:eastAsia="仿宋_GB2312" w:cs="宋体"/>
          <w:color w:val="000000"/>
          <w:kern w:val="0"/>
          <w:sz w:val="32"/>
          <w:szCs w:val="32"/>
        </w:rPr>
        <w:t>资格预审文件内容</w:t>
      </w:r>
      <w:r>
        <w:rPr>
          <w:rFonts w:hint="eastAsia" w:ascii="仿宋_GB2312" w:hAnsi="ˎ̥" w:eastAsia="仿宋_GB2312" w:cs="宋体"/>
          <w:color w:val="000000"/>
          <w:kern w:val="0"/>
          <w:sz w:val="32"/>
          <w:szCs w:val="32"/>
        </w:rPr>
        <w:t>应符合法律法规规定的格式：</w:t>
      </w:r>
    </w:p>
    <w:p w14:paraId="5C479F2D">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1、施工招标</w:t>
      </w:r>
      <w:r>
        <w:rPr>
          <w:rFonts w:ascii="仿宋_GB2312" w:hAnsi="ˎ̥" w:eastAsia="仿宋_GB2312" w:cs="宋体"/>
          <w:color w:val="000000"/>
          <w:kern w:val="0"/>
          <w:sz w:val="32"/>
          <w:szCs w:val="32"/>
        </w:rPr>
        <w:t>一般应包括</w:t>
      </w:r>
      <w:r>
        <w:rPr>
          <w:rFonts w:hint="eastAsia" w:ascii="仿宋_GB2312" w:hAnsi="ˎ̥" w:eastAsia="仿宋_GB2312" w:cs="宋体"/>
          <w:color w:val="000000"/>
          <w:kern w:val="0"/>
          <w:sz w:val="32"/>
          <w:szCs w:val="32"/>
        </w:rPr>
        <w:t>如下内容：</w:t>
      </w:r>
      <w:r>
        <w:rPr>
          <w:rFonts w:ascii="仿宋_GB2312" w:hAnsi="ˎ̥" w:eastAsia="仿宋_GB2312" w:cs="宋体"/>
          <w:color w:val="000000"/>
          <w:kern w:val="0"/>
          <w:sz w:val="32"/>
          <w:szCs w:val="32"/>
        </w:rPr>
        <w:t>资格预审申请书格式、申请人须知，以及需要投标申请人提供的企业资质、业绩、技术装备、财务状况和拟派出的项目经理与主要技术人员的简历、业绩等证明材料。</w:t>
      </w:r>
    </w:p>
    <w:p w14:paraId="5F411375">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2、勘察设计招标</w:t>
      </w:r>
      <w:r>
        <w:rPr>
          <w:rFonts w:ascii="仿宋_GB2312" w:hAnsi="ˎ̥" w:eastAsia="仿宋_GB2312" w:cs="宋体"/>
          <w:color w:val="000000"/>
          <w:kern w:val="0"/>
          <w:sz w:val="32"/>
          <w:szCs w:val="32"/>
        </w:rPr>
        <w:t>一般应包括</w:t>
      </w:r>
      <w:r>
        <w:rPr>
          <w:rFonts w:hint="eastAsia" w:ascii="仿宋_GB2312" w:hAnsi="ˎ̥" w:eastAsia="仿宋_GB2312" w:cs="宋体"/>
          <w:color w:val="000000"/>
          <w:kern w:val="0"/>
          <w:sz w:val="32"/>
          <w:szCs w:val="32"/>
        </w:rPr>
        <w:t>如下内容：</w:t>
      </w:r>
      <w:r>
        <w:rPr>
          <w:rFonts w:ascii="仿宋_GB2312" w:hAnsi="ˎ̥" w:eastAsia="仿宋_GB2312" w:cs="宋体"/>
          <w:color w:val="000000"/>
          <w:kern w:val="0"/>
          <w:sz w:val="32"/>
          <w:szCs w:val="32"/>
        </w:rPr>
        <w:t>资格预审申请书格式、申请人须知，</w:t>
      </w:r>
      <w:r>
        <w:rPr>
          <w:rFonts w:hint="eastAsia" w:ascii="仿宋_GB2312" w:hAnsi="ˎ̥" w:eastAsia="仿宋_GB2312" w:cs="宋体"/>
          <w:color w:val="000000"/>
          <w:kern w:val="0"/>
          <w:sz w:val="32"/>
          <w:szCs w:val="32"/>
        </w:rPr>
        <w:t>以及</w:t>
      </w:r>
      <w:r>
        <w:rPr>
          <w:rFonts w:ascii="仿宋_GB2312" w:hAnsi="ˎ̥" w:eastAsia="仿宋_GB2312" w:cs="宋体"/>
          <w:color w:val="000000"/>
          <w:kern w:val="0"/>
          <w:sz w:val="32"/>
          <w:szCs w:val="32"/>
        </w:rPr>
        <w:t>需要投标申请人提供的</w:t>
      </w:r>
      <w:r>
        <w:rPr>
          <w:rFonts w:hint="eastAsia" w:ascii="仿宋_GB2312" w:hAnsi="ˎ̥" w:eastAsia="仿宋_GB2312" w:cs="宋体"/>
          <w:color w:val="000000"/>
          <w:kern w:val="0"/>
          <w:sz w:val="32"/>
          <w:szCs w:val="32"/>
        </w:rPr>
        <w:t>资格证明、投标单位概况、同类工程设计经验、获奖情况、近3年的设计质量事故及其处理情况、投标单位的财务状况、近3年的仲裁和诉讼情况等证明材料。</w:t>
      </w:r>
    </w:p>
    <w:p w14:paraId="38F196E6">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3、货物招标</w:t>
      </w:r>
      <w:r>
        <w:rPr>
          <w:rFonts w:ascii="仿宋_GB2312" w:hAnsi="ˎ̥" w:eastAsia="仿宋_GB2312" w:cs="宋体"/>
          <w:color w:val="000000"/>
          <w:kern w:val="0"/>
          <w:sz w:val="32"/>
          <w:szCs w:val="32"/>
        </w:rPr>
        <w:t>一般应包括</w:t>
      </w:r>
      <w:r>
        <w:rPr>
          <w:rFonts w:hint="eastAsia" w:ascii="仿宋_GB2312" w:hAnsi="ˎ̥" w:eastAsia="仿宋_GB2312" w:cs="宋体"/>
          <w:color w:val="000000"/>
          <w:kern w:val="0"/>
          <w:sz w:val="32"/>
          <w:szCs w:val="32"/>
        </w:rPr>
        <w:t>如下内容：</w:t>
      </w:r>
      <w:r>
        <w:rPr>
          <w:rFonts w:ascii="仿宋_GB2312" w:hAnsi="ˎ̥" w:eastAsia="仿宋_GB2312" w:cs="宋体"/>
          <w:color w:val="000000"/>
          <w:kern w:val="0"/>
          <w:sz w:val="32"/>
          <w:szCs w:val="32"/>
        </w:rPr>
        <w:t>资格预审邀请书；申请人须知；资格要求；其他业绩要求；资格审查标准和方法；资格预审结果的通知方式。</w:t>
      </w:r>
    </w:p>
    <w:p w14:paraId="7A3AFF59">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561F030F">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1、招标人或其委托的招标代理机构自行上网发布资格预审文件；</w:t>
      </w:r>
    </w:p>
    <w:p w14:paraId="1B930D56">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资格预审后，</w:t>
      </w:r>
      <w:r>
        <w:rPr>
          <w:rFonts w:hint="eastAsia" w:ascii="仿宋_GB2312" w:hAnsi="ˎ̥" w:eastAsia="仿宋_GB2312" w:cs="宋体"/>
          <w:color w:val="000000"/>
          <w:kern w:val="0"/>
          <w:sz w:val="32"/>
          <w:szCs w:val="32"/>
        </w:rPr>
        <w:t>招标人或其委托的招标代理机构</w:t>
      </w:r>
      <w:r>
        <w:rPr>
          <w:rFonts w:ascii="仿宋_GB2312" w:hAnsi="ˎ̥" w:eastAsia="仿宋_GB2312" w:cs="宋体"/>
          <w:color w:val="000000"/>
          <w:kern w:val="0"/>
          <w:sz w:val="32"/>
          <w:szCs w:val="32"/>
        </w:rPr>
        <w:t>应向资格预审合格的投标申请人发出资格预审合格通知书，告知获取招标文件的时间、地点和方法，并同时向资格预审不合格的投标申请人告知资格预审结果。</w:t>
      </w:r>
    </w:p>
    <w:p w14:paraId="42B05ECE">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72DB26DB">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资格预审文件</w:t>
      </w:r>
      <w:r>
        <w:rPr>
          <w:rFonts w:ascii="仿宋_GB2312" w:hAnsi="ˎ̥" w:eastAsia="仿宋_GB2312" w:cs="宋体"/>
          <w:color w:val="000000"/>
          <w:kern w:val="0"/>
          <w:sz w:val="32"/>
          <w:szCs w:val="32"/>
        </w:rPr>
        <w:t>有违反法律、法规内容的，应当责令招标人或其委托的招标代理机构改正。</w:t>
      </w:r>
    </w:p>
    <w:p w14:paraId="0B3C70EC">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387A2D67">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事中、事后监管事项</w:t>
      </w:r>
    </w:p>
    <w:p w14:paraId="1F7BD2A1">
      <w:pPr>
        <w:widowControl/>
        <w:ind w:firstLine="627" w:firstLineChars="196"/>
        <w:rPr>
          <w:rFonts w:hint="eastAsia" w:ascii="仿宋_GB2312" w:hAnsi="ˎ̥" w:eastAsia="仿宋_GB2312" w:cs="宋体"/>
          <w:color w:val="000000"/>
          <w:kern w:val="0"/>
          <w:sz w:val="32"/>
          <w:szCs w:val="32"/>
        </w:rPr>
      </w:pPr>
    </w:p>
    <w:p w14:paraId="70590AB2">
      <w:pPr>
        <w:widowControl/>
        <w:ind w:firstLine="627" w:firstLineChars="196"/>
        <w:rPr>
          <w:rFonts w:hint="eastAsia" w:ascii="仿宋_GB2312" w:hAnsi="ˎ̥" w:eastAsia="仿宋_GB2312" w:cs="宋体"/>
          <w:color w:val="000000"/>
          <w:kern w:val="0"/>
          <w:sz w:val="32"/>
          <w:szCs w:val="32"/>
        </w:rPr>
      </w:pPr>
    </w:p>
    <w:p w14:paraId="597305F4">
      <w:pPr>
        <w:widowControl/>
        <w:ind w:firstLine="627" w:firstLineChars="196"/>
        <w:rPr>
          <w:rFonts w:hint="eastAsia" w:ascii="仿宋_GB2312" w:hAnsi="ˎ̥" w:eastAsia="仿宋_GB2312" w:cs="宋体"/>
          <w:color w:val="000000"/>
          <w:kern w:val="0"/>
          <w:sz w:val="32"/>
          <w:szCs w:val="32"/>
        </w:rPr>
      </w:pPr>
    </w:p>
    <w:p w14:paraId="404391C8">
      <w:pPr>
        <w:widowControl/>
        <w:ind w:firstLine="627" w:firstLineChars="196"/>
        <w:rPr>
          <w:rFonts w:hint="eastAsia" w:ascii="仿宋_GB2312" w:hAnsi="ˎ̥" w:eastAsia="仿宋_GB2312" w:cs="宋体"/>
          <w:color w:val="000000"/>
          <w:kern w:val="0"/>
          <w:sz w:val="32"/>
          <w:szCs w:val="32"/>
        </w:rPr>
      </w:pPr>
    </w:p>
    <w:p w14:paraId="763F3C38">
      <w:pPr>
        <w:widowControl/>
        <w:ind w:firstLine="627" w:firstLineChars="196"/>
        <w:rPr>
          <w:rFonts w:hint="eastAsia" w:ascii="仿宋_GB2312" w:hAnsi="ˎ̥" w:eastAsia="仿宋_GB2312" w:cs="宋体"/>
          <w:color w:val="000000"/>
          <w:kern w:val="0"/>
          <w:sz w:val="32"/>
          <w:szCs w:val="32"/>
        </w:rPr>
      </w:pPr>
    </w:p>
    <w:p w14:paraId="54DDB7E0">
      <w:pPr>
        <w:widowControl/>
        <w:ind w:firstLine="627" w:firstLineChars="196"/>
        <w:rPr>
          <w:rFonts w:hint="eastAsia" w:ascii="仿宋_GB2312" w:hAnsi="ˎ̥" w:eastAsia="仿宋_GB2312" w:cs="宋体"/>
          <w:color w:val="000000"/>
          <w:kern w:val="0"/>
          <w:sz w:val="32"/>
          <w:szCs w:val="32"/>
        </w:rPr>
      </w:pPr>
    </w:p>
    <w:p w14:paraId="6F3EC8F3">
      <w:pPr>
        <w:widowControl/>
        <w:ind w:firstLine="627" w:firstLineChars="196"/>
        <w:rPr>
          <w:rFonts w:hint="eastAsia" w:ascii="仿宋_GB2312" w:hAnsi="ˎ̥" w:eastAsia="仿宋_GB2312" w:cs="宋体"/>
          <w:color w:val="000000"/>
          <w:kern w:val="0"/>
          <w:sz w:val="32"/>
          <w:szCs w:val="32"/>
        </w:rPr>
      </w:pPr>
    </w:p>
    <w:p w14:paraId="404BEE18">
      <w:pPr>
        <w:widowControl/>
        <w:ind w:firstLine="627" w:firstLineChars="196"/>
        <w:rPr>
          <w:rFonts w:hint="eastAsia" w:ascii="仿宋_GB2312" w:hAnsi="ˎ̥" w:eastAsia="仿宋_GB2312" w:cs="宋体"/>
          <w:color w:val="000000"/>
          <w:kern w:val="0"/>
          <w:sz w:val="32"/>
          <w:szCs w:val="32"/>
        </w:rPr>
      </w:pPr>
    </w:p>
    <w:p w14:paraId="1E527EDE">
      <w:pPr>
        <w:widowControl/>
        <w:ind w:firstLine="627" w:firstLineChars="196"/>
        <w:rPr>
          <w:rFonts w:hint="eastAsia" w:ascii="仿宋_GB2312" w:hAnsi="ˎ̥" w:eastAsia="仿宋_GB2312" w:cs="宋体"/>
          <w:color w:val="000000"/>
          <w:kern w:val="0"/>
          <w:sz w:val="32"/>
          <w:szCs w:val="32"/>
        </w:rPr>
      </w:pPr>
    </w:p>
    <w:p w14:paraId="3A803F77">
      <w:pPr>
        <w:widowControl/>
        <w:ind w:firstLine="627" w:firstLineChars="196"/>
        <w:rPr>
          <w:rFonts w:hint="eastAsia" w:ascii="仿宋_GB2312" w:hAnsi="ˎ̥" w:eastAsia="仿宋_GB2312" w:cs="宋体"/>
          <w:color w:val="000000"/>
          <w:kern w:val="0"/>
          <w:sz w:val="32"/>
          <w:szCs w:val="32"/>
        </w:rPr>
      </w:pPr>
    </w:p>
    <w:p w14:paraId="5D62C8E5">
      <w:pPr>
        <w:widowControl/>
        <w:ind w:firstLine="627" w:firstLineChars="196"/>
        <w:rPr>
          <w:rFonts w:hint="eastAsia" w:ascii="仿宋_GB2312" w:hAnsi="ˎ̥" w:eastAsia="仿宋_GB2312" w:cs="宋体"/>
          <w:color w:val="000000"/>
          <w:kern w:val="0"/>
          <w:sz w:val="32"/>
          <w:szCs w:val="32"/>
        </w:rPr>
      </w:pPr>
    </w:p>
    <w:p w14:paraId="798657C6">
      <w:pPr>
        <w:widowControl/>
        <w:ind w:firstLine="627" w:firstLineChars="196"/>
        <w:rPr>
          <w:rFonts w:hint="eastAsia" w:ascii="仿宋_GB2312" w:hAnsi="ˎ̥" w:eastAsia="仿宋_GB2312" w:cs="宋体"/>
          <w:color w:val="000000"/>
          <w:kern w:val="0"/>
          <w:sz w:val="32"/>
          <w:szCs w:val="32"/>
        </w:rPr>
      </w:pPr>
    </w:p>
    <w:p w14:paraId="5063F149">
      <w:pPr>
        <w:widowControl/>
        <w:ind w:firstLine="627" w:firstLineChars="196"/>
        <w:rPr>
          <w:rFonts w:hint="eastAsia" w:ascii="仿宋_GB2312" w:hAnsi="ˎ̥" w:eastAsia="仿宋_GB2312" w:cs="宋体"/>
          <w:color w:val="000000"/>
          <w:kern w:val="0"/>
          <w:sz w:val="32"/>
          <w:szCs w:val="32"/>
        </w:rPr>
      </w:pPr>
    </w:p>
    <w:p w14:paraId="292E76DF">
      <w:pPr>
        <w:widowControl/>
        <w:jc w:val="center"/>
        <w:rPr>
          <w:rFonts w:hint="eastAsia" w:ascii="黑体" w:hAnsi="ˎ̥" w:eastAsia="黑体" w:cs="宋体"/>
          <w:bCs/>
          <w:color w:val="000000"/>
          <w:kern w:val="0"/>
          <w:sz w:val="44"/>
          <w:szCs w:val="44"/>
        </w:rPr>
      </w:pPr>
    </w:p>
    <w:p w14:paraId="661CBFD0">
      <w:pPr>
        <w:widowControl/>
        <w:jc w:val="center"/>
        <w:rPr>
          <w:rFonts w:hint="eastAsia" w:ascii="黑体" w:hAnsi="ˎ̥" w:eastAsia="黑体" w:cs="宋体"/>
          <w:bCs/>
          <w:color w:val="000000"/>
          <w:kern w:val="0"/>
          <w:sz w:val="44"/>
          <w:szCs w:val="44"/>
        </w:rPr>
      </w:pPr>
    </w:p>
    <w:p w14:paraId="2D732E42">
      <w:pPr>
        <w:widowControl/>
        <w:jc w:val="center"/>
        <w:rPr>
          <w:rFonts w:hint="eastAsia" w:ascii="黑体" w:hAnsi="ˎ̥" w:eastAsia="黑体" w:cs="宋体"/>
          <w:bCs/>
          <w:color w:val="000000"/>
          <w:kern w:val="0"/>
          <w:sz w:val="44"/>
          <w:szCs w:val="44"/>
        </w:rPr>
      </w:pPr>
    </w:p>
    <w:p w14:paraId="01446707">
      <w:pPr>
        <w:widowControl/>
        <w:rPr>
          <w:rFonts w:hint="eastAsia" w:ascii="黑体" w:hAnsi="ˎ̥" w:eastAsia="黑体" w:cs="宋体"/>
          <w:bCs/>
          <w:color w:val="000000"/>
          <w:kern w:val="0"/>
          <w:sz w:val="44"/>
          <w:szCs w:val="44"/>
        </w:rPr>
      </w:pPr>
    </w:p>
    <w:p w14:paraId="49AE3DA3">
      <w:pPr>
        <w:pStyle w:val="2"/>
        <w:jc w:val="center"/>
      </w:pPr>
      <w:bookmarkStart w:id="5" w:name="_Toc12921"/>
      <w:r>
        <w:rPr>
          <w:rFonts w:hint="eastAsia"/>
        </w:rPr>
        <w:t>资格预审结果备案工作制度</w:t>
      </w:r>
      <w:bookmarkEnd w:id="5"/>
    </w:p>
    <w:p w14:paraId="632B4DDC">
      <w:pPr>
        <w:widowControl/>
        <w:ind w:firstLine="640" w:firstLineChars="200"/>
        <w:rPr>
          <w:rFonts w:hint="eastAsia" w:ascii="仿宋_GB2312" w:hAnsi="ˎ̥" w:eastAsia="仿宋_GB2312" w:cs="宋体"/>
          <w:color w:val="000000"/>
          <w:kern w:val="0"/>
          <w:sz w:val="32"/>
          <w:szCs w:val="32"/>
        </w:rPr>
      </w:pPr>
    </w:p>
    <w:p w14:paraId="334E56C3">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6FE50AE3">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（一）资格预审文件已发布</w:t>
      </w:r>
    </w:p>
    <w:p w14:paraId="6F0C69D9">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（二）资格预审结果书面报告一般应包括</w:t>
      </w:r>
    </w:p>
    <w:p w14:paraId="1CCEEC79">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1、工程项目概要;</w:t>
      </w:r>
    </w:p>
    <w:p w14:paraId="46905B1F">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2、资格预审评审简介;</w:t>
      </w:r>
    </w:p>
    <w:p w14:paraId="08732238">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3、资格预审评审标准;</w:t>
      </w:r>
    </w:p>
    <w:p w14:paraId="4F979B65">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4、资格预审评审程序;</w:t>
      </w:r>
    </w:p>
    <w:p w14:paraId="01D98E92">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5、资格预审评审结果;</w:t>
      </w:r>
    </w:p>
    <w:p w14:paraId="346B1053">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6、资格预审评审委员会名单及附件;</w:t>
      </w:r>
    </w:p>
    <w:p w14:paraId="77AE3C43">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7、资格预审评分汇总表;</w:t>
      </w:r>
    </w:p>
    <w:p w14:paraId="0856220D">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8、资格预审分项评分表;</w:t>
      </w:r>
    </w:p>
    <w:p w14:paraId="0E7A7D4C">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9、资格预审详细评审标准等.</w:t>
      </w:r>
    </w:p>
    <w:p w14:paraId="17F0C66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16964527">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资格预审完成后，评审委员会应向招标人或其委托的招标代理机构提交资格预审报告，招标人或其委托的招标代理机构将资格预审结果报招标部备案。</w:t>
      </w:r>
    </w:p>
    <w:p w14:paraId="7AC7B1BC">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68E3FB22">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资格预审结果</w:t>
      </w:r>
      <w:r>
        <w:rPr>
          <w:rFonts w:ascii="仿宋_GB2312" w:hAnsi="ˎ̥" w:eastAsia="仿宋_GB2312" w:cs="宋体"/>
          <w:color w:val="000000"/>
          <w:kern w:val="0"/>
          <w:sz w:val="32"/>
          <w:szCs w:val="32"/>
        </w:rPr>
        <w:t>有违反法律、法规内容的，应当责令招标人或其委托的招标代理机构改正。</w:t>
      </w:r>
    </w:p>
    <w:p w14:paraId="16D13144">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3215D649">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事后监管事项</w:t>
      </w:r>
    </w:p>
    <w:p w14:paraId="1F4880D8">
      <w:pPr>
        <w:pStyle w:val="2"/>
        <w:jc w:val="center"/>
      </w:pPr>
      <w:bookmarkStart w:id="6" w:name="_Toc6603"/>
      <w:r>
        <w:rPr>
          <w:rFonts w:hint="eastAsia"/>
        </w:rPr>
        <w:t>招标文件备案工作制度</w:t>
      </w:r>
      <w:bookmarkEnd w:id="6"/>
    </w:p>
    <w:p w14:paraId="5920DA1F">
      <w:pPr>
        <w:widowControl/>
        <w:ind w:firstLine="640" w:firstLineChars="200"/>
        <w:rPr>
          <w:rFonts w:hint="eastAsia" w:ascii="仿宋_GB2312" w:hAnsi="ˎ̥" w:eastAsia="仿宋_GB2312" w:cs="宋体"/>
          <w:color w:val="000000"/>
          <w:kern w:val="0"/>
          <w:sz w:val="32"/>
          <w:szCs w:val="32"/>
        </w:rPr>
      </w:pPr>
    </w:p>
    <w:p w14:paraId="4704AF24">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4D8FCB94">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（一）招标公告已发布；</w:t>
      </w:r>
    </w:p>
    <w:p w14:paraId="1BC1F9A1">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w:t>
      </w:r>
      <w:r>
        <w:rPr>
          <w:rFonts w:ascii="仿宋_GB2312" w:hAnsi="ˎ̥" w:eastAsia="仿宋_GB2312" w:cs="宋体"/>
          <w:color w:val="000000"/>
          <w:kern w:val="0"/>
          <w:sz w:val="32"/>
          <w:szCs w:val="32"/>
        </w:rPr>
        <w:t>招标文件内容</w:t>
      </w:r>
      <w:r>
        <w:rPr>
          <w:rFonts w:hint="eastAsia" w:ascii="仿宋_GB2312" w:hAnsi="ˎ̥" w:eastAsia="仿宋_GB2312" w:cs="宋体"/>
          <w:color w:val="000000"/>
          <w:kern w:val="0"/>
          <w:sz w:val="32"/>
          <w:szCs w:val="32"/>
        </w:rPr>
        <w:t>应符合法律法规规定的格式：</w:t>
      </w:r>
    </w:p>
    <w:p w14:paraId="614CE104">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1、施工</w:t>
      </w:r>
      <w:r>
        <w:rPr>
          <w:rFonts w:ascii="仿宋_GB2312" w:hAnsi="ˎ̥" w:eastAsia="仿宋_GB2312" w:cs="宋体"/>
          <w:color w:val="000000"/>
          <w:kern w:val="0"/>
          <w:sz w:val="32"/>
          <w:szCs w:val="32"/>
        </w:rPr>
        <w:t>招标文件一般应包括</w:t>
      </w:r>
      <w:r>
        <w:rPr>
          <w:rFonts w:hint="eastAsia" w:ascii="仿宋_GB2312" w:hAnsi="ˎ̥" w:eastAsia="仿宋_GB2312" w:cs="宋体"/>
          <w:color w:val="000000"/>
          <w:kern w:val="0"/>
          <w:sz w:val="32"/>
          <w:szCs w:val="32"/>
        </w:rPr>
        <w:t>如下内容：</w:t>
      </w:r>
      <w:r>
        <w:rPr>
          <w:rFonts w:ascii="仿宋_GB2312" w:hAnsi="ˎ̥" w:eastAsia="仿宋_GB2312" w:cs="宋体"/>
          <w:color w:val="000000"/>
          <w:kern w:val="0"/>
          <w:sz w:val="32"/>
          <w:szCs w:val="32"/>
        </w:rPr>
        <w:t>投标人须知；合同主要条款；投标文件格式；采用工程量清单招标的，应当提供工程量清单；技术条款；设计图纸；评标标准和方法；投标辅助材料。</w:t>
      </w:r>
    </w:p>
    <w:p w14:paraId="2C45705A">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勘察设计招标文件一般应包括</w:t>
      </w:r>
      <w:r>
        <w:rPr>
          <w:rFonts w:hint="eastAsia" w:ascii="仿宋_GB2312" w:hAnsi="ˎ̥" w:eastAsia="仿宋_GB2312" w:cs="宋体"/>
          <w:color w:val="000000"/>
          <w:kern w:val="0"/>
          <w:sz w:val="32"/>
          <w:szCs w:val="32"/>
        </w:rPr>
        <w:t>如下内容：</w:t>
      </w:r>
      <w:r>
        <w:rPr>
          <w:rFonts w:ascii="仿宋_GB2312" w:hAnsi="ˎ̥" w:eastAsia="仿宋_GB2312" w:cs="宋体"/>
          <w:color w:val="000000"/>
          <w:kern w:val="0"/>
          <w:sz w:val="32"/>
          <w:szCs w:val="32"/>
        </w:rPr>
        <w:t>投标须知；投标文件格式及主要合同条款；项目说明书，包括资金来源情况；勘察设计范围，对勘察设计进度、阶段和深度要求；勘察设计基础资料；勘察设计费用支付方式，对未中标人是否给予补偿及补偿标准；投标报价要求；对投标人资格审查的标准；评标标准和方法；投标有效期。</w:t>
      </w:r>
    </w:p>
    <w:p w14:paraId="58AA62EB">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3、货物</w:t>
      </w:r>
      <w:r>
        <w:rPr>
          <w:rFonts w:ascii="仿宋_GB2312" w:hAnsi="ˎ̥" w:eastAsia="仿宋_GB2312" w:cs="宋体"/>
          <w:color w:val="000000"/>
          <w:kern w:val="0"/>
          <w:sz w:val="32"/>
          <w:szCs w:val="32"/>
        </w:rPr>
        <w:t>招标文件一般应包括</w:t>
      </w:r>
      <w:r>
        <w:rPr>
          <w:rFonts w:hint="eastAsia" w:ascii="仿宋_GB2312" w:hAnsi="ˎ̥" w:eastAsia="仿宋_GB2312" w:cs="宋体"/>
          <w:color w:val="000000"/>
          <w:kern w:val="0"/>
          <w:sz w:val="32"/>
          <w:szCs w:val="32"/>
        </w:rPr>
        <w:t>如下内容：</w:t>
      </w:r>
      <w:r>
        <w:rPr>
          <w:rFonts w:ascii="仿宋_GB2312" w:hAnsi="ˎ̥" w:eastAsia="仿宋_GB2312" w:cs="宋体"/>
          <w:color w:val="000000"/>
          <w:kern w:val="0"/>
          <w:sz w:val="32"/>
          <w:szCs w:val="32"/>
        </w:rPr>
        <w:t>投标邀请书；投标人须知；投标文件格式；技术规格、参数及其他要求；评标标准和方法；合同主要条款</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t>规定实质性要求和条件</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t>非实质性要求和条件，应规定允许偏差的最大范围、最高项数，以及对这些偏差进行调整的方法</w:t>
      </w:r>
      <w:r>
        <w:rPr>
          <w:rFonts w:hint="eastAsia" w:ascii="仿宋_GB2312" w:hAnsi="ˎ̥" w:eastAsia="仿宋_GB2312" w:cs="宋体"/>
          <w:color w:val="000000"/>
          <w:kern w:val="0"/>
          <w:sz w:val="32"/>
          <w:szCs w:val="32"/>
        </w:rPr>
        <w:t>。</w:t>
      </w:r>
    </w:p>
    <w:p w14:paraId="3771B645">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5986C758">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招标人或其委托的招标代理机构自行在网上发布招标文件；</w:t>
      </w:r>
    </w:p>
    <w:p w14:paraId="4FAE6C8C">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3BA697A8">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招标文件要依法编制，国家对招标项目的技术、标准有规定的，在招标文件中提出的相应要求应当符合其规定。</w:t>
      </w:r>
    </w:p>
    <w:p w14:paraId="65C4C6F2">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招标人以不合理的条件限制或者排斥潜在投标人的，对潜在投标人实行歧视待遇的，强制要求投标人组成联合体共同投标的，或者限制投标人之间竞争的，</w:t>
      </w:r>
      <w:r>
        <w:rPr>
          <w:rFonts w:hint="eastAsia" w:ascii="仿宋_GB2312" w:hAnsi="ˎ̥" w:eastAsia="仿宋_GB2312" w:cs="宋体"/>
          <w:color w:val="000000"/>
          <w:kern w:val="0"/>
          <w:sz w:val="32"/>
          <w:szCs w:val="32"/>
        </w:rPr>
        <w:t>招标部应</w:t>
      </w:r>
      <w:r>
        <w:rPr>
          <w:rFonts w:ascii="仿宋_GB2312" w:hAnsi="ˎ̥" w:eastAsia="仿宋_GB2312" w:cs="宋体"/>
          <w:color w:val="000000"/>
          <w:kern w:val="0"/>
          <w:sz w:val="32"/>
          <w:szCs w:val="32"/>
        </w:rPr>
        <w:t>责令改正，可以处一万元以上五万元以下的罚款。</w:t>
      </w:r>
    </w:p>
    <w:p w14:paraId="38C64B43">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自招标文件开始发出之日起至提交投标文件截止之日止，</w:t>
      </w:r>
      <w:r>
        <w:rPr>
          <w:rFonts w:hint="eastAsia" w:ascii="仿宋_GB2312" w:hAnsi="ˎ̥" w:eastAsia="仿宋_GB2312" w:cs="宋体"/>
          <w:color w:val="000000"/>
          <w:kern w:val="0"/>
          <w:sz w:val="32"/>
          <w:szCs w:val="32"/>
        </w:rPr>
        <w:t>不得</w:t>
      </w:r>
      <w:r>
        <w:rPr>
          <w:rFonts w:ascii="仿宋_GB2312" w:hAnsi="ˎ̥" w:eastAsia="仿宋_GB2312" w:cs="宋体"/>
          <w:color w:val="000000"/>
          <w:kern w:val="0"/>
          <w:sz w:val="32"/>
          <w:szCs w:val="32"/>
        </w:rPr>
        <w:t>少于二十日；</w:t>
      </w:r>
      <w:r>
        <w:rPr>
          <w:rFonts w:hint="eastAsia" w:ascii="仿宋_GB2312" w:hAnsi="ˎ̥" w:eastAsia="仿宋_GB2312" w:cs="宋体"/>
          <w:color w:val="000000"/>
          <w:kern w:val="0"/>
          <w:sz w:val="32"/>
          <w:szCs w:val="32"/>
        </w:rPr>
        <w:t>招标部应</w:t>
      </w:r>
      <w:r>
        <w:rPr>
          <w:rFonts w:ascii="仿宋_GB2312" w:hAnsi="ˎ̥" w:eastAsia="仿宋_GB2312" w:cs="宋体"/>
          <w:color w:val="000000"/>
          <w:kern w:val="0"/>
          <w:sz w:val="32"/>
          <w:szCs w:val="32"/>
        </w:rPr>
        <w:t>责令招标人或者招标代理机构限期改正，根据情节可处三万元以下的罚款；情节严重的，招标无效</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t>被认定为招标无效的，应当重新招标</w:t>
      </w:r>
      <w:r>
        <w:rPr>
          <w:rFonts w:hint="eastAsia" w:ascii="仿宋_GB2312" w:hAnsi="ˎ̥" w:eastAsia="仿宋_GB2312" w:cs="宋体"/>
          <w:color w:val="000000"/>
          <w:kern w:val="0"/>
          <w:sz w:val="32"/>
          <w:szCs w:val="32"/>
        </w:rPr>
        <w:t>。</w:t>
      </w:r>
    </w:p>
    <w:p w14:paraId="2BAF9142">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7ED3456C">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事中、事后监管事项</w:t>
      </w:r>
    </w:p>
    <w:p w14:paraId="5168455A">
      <w:pPr>
        <w:widowControl/>
        <w:ind w:firstLine="640" w:firstLineChars="200"/>
        <w:rPr>
          <w:rFonts w:hint="eastAsia" w:ascii="仿宋_GB2312" w:hAnsi="ˎ̥" w:eastAsia="仿宋_GB2312" w:cs="宋体"/>
          <w:color w:val="000000"/>
          <w:kern w:val="0"/>
          <w:sz w:val="32"/>
          <w:szCs w:val="32"/>
        </w:rPr>
      </w:pPr>
    </w:p>
    <w:p w14:paraId="09558C22">
      <w:pPr>
        <w:widowControl/>
        <w:ind w:firstLine="640" w:firstLineChars="200"/>
        <w:rPr>
          <w:rFonts w:hint="eastAsia" w:ascii="仿宋_GB2312" w:hAnsi="ˎ̥" w:eastAsia="仿宋_GB2312" w:cs="宋体"/>
          <w:color w:val="000000"/>
          <w:kern w:val="0"/>
          <w:sz w:val="32"/>
          <w:szCs w:val="32"/>
        </w:rPr>
      </w:pPr>
    </w:p>
    <w:p w14:paraId="505A5D2F">
      <w:pPr>
        <w:widowControl/>
        <w:ind w:firstLine="640" w:firstLineChars="200"/>
        <w:rPr>
          <w:rFonts w:hint="eastAsia" w:ascii="仿宋_GB2312" w:hAnsi="ˎ̥" w:eastAsia="仿宋_GB2312" w:cs="宋体"/>
          <w:color w:val="000000"/>
          <w:kern w:val="0"/>
          <w:sz w:val="32"/>
          <w:szCs w:val="32"/>
        </w:rPr>
      </w:pPr>
    </w:p>
    <w:p w14:paraId="36C2C7E0">
      <w:pPr>
        <w:widowControl/>
        <w:ind w:firstLine="640" w:firstLineChars="200"/>
        <w:rPr>
          <w:rFonts w:hint="eastAsia" w:ascii="仿宋_GB2312" w:hAnsi="ˎ̥" w:eastAsia="仿宋_GB2312" w:cs="宋体"/>
          <w:color w:val="000000"/>
          <w:kern w:val="0"/>
          <w:sz w:val="32"/>
          <w:szCs w:val="32"/>
        </w:rPr>
      </w:pPr>
    </w:p>
    <w:p w14:paraId="637FF694">
      <w:pPr>
        <w:widowControl/>
        <w:ind w:firstLine="640" w:firstLineChars="200"/>
        <w:rPr>
          <w:rFonts w:hint="eastAsia" w:ascii="仿宋_GB2312" w:hAnsi="ˎ̥" w:eastAsia="仿宋_GB2312" w:cs="宋体"/>
          <w:color w:val="000000"/>
          <w:kern w:val="0"/>
          <w:sz w:val="32"/>
          <w:szCs w:val="32"/>
        </w:rPr>
      </w:pPr>
    </w:p>
    <w:p w14:paraId="5D2C2F04">
      <w:pPr>
        <w:widowControl/>
        <w:ind w:firstLine="640" w:firstLineChars="200"/>
        <w:rPr>
          <w:rFonts w:hint="eastAsia" w:ascii="仿宋_GB2312" w:hAnsi="ˎ̥" w:eastAsia="仿宋_GB2312" w:cs="宋体"/>
          <w:color w:val="000000"/>
          <w:kern w:val="0"/>
          <w:sz w:val="32"/>
          <w:szCs w:val="32"/>
        </w:rPr>
      </w:pPr>
    </w:p>
    <w:p w14:paraId="63D953C1">
      <w:pPr>
        <w:widowControl/>
        <w:ind w:firstLine="640" w:firstLineChars="200"/>
        <w:rPr>
          <w:rFonts w:hint="eastAsia" w:ascii="仿宋_GB2312" w:hAnsi="ˎ̥" w:eastAsia="仿宋_GB2312" w:cs="宋体"/>
          <w:color w:val="000000"/>
          <w:kern w:val="0"/>
          <w:sz w:val="32"/>
          <w:szCs w:val="32"/>
        </w:rPr>
      </w:pPr>
    </w:p>
    <w:p w14:paraId="1E9319C4">
      <w:pPr>
        <w:widowControl/>
        <w:ind w:firstLine="640" w:firstLineChars="200"/>
        <w:rPr>
          <w:rFonts w:hint="eastAsia" w:ascii="仿宋_GB2312" w:hAnsi="ˎ̥" w:eastAsia="仿宋_GB2312" w:cs="宋体"/>
          <w:color w:val="000000"/>
          <w:kern w:val="0"/>
          <w:sz w:val="32"/>
          <w:szCs w:val="32"/>
        </w:rPr>
      </w:pPr>
    </w:p>
    <w:p w14:paraId="637771F7">
      <w:pPr>
        <w:widowControl/>
        <w:jc w:val="center"/>
        <w:rPr>
          <w:rFonts w:hint="eastAsia" w:ascii="黑体" w:hAnsi="ˎ̥" w:eastAsia="黑体" w:cs="宋体"/>
          <w:bCs/>
          <w:color w:val="000000"/>
          <w:kern w:val="0"/>
          <w:sz w:val="44"/>
          <w:szCs w:val="44"/>
        </w:rPr>
      </w:pPr>
    </w:p>
    <w:p w14:paraId="49C0B1EE">
      <w:pPr>
        <w:widowControl/>
        <w:jc w:val="center"/>
        <w:rPr>
          <w:rFonts w:hint="eastAsia" w:ascii="黑体" w:hAnsi="ˎ̥" w:eastAsia="黑体" w:cs="宋体"/>
          <w:bCs/>
          <w:color w:val="000000"/>
          <w:kern w:val="0"/>
          <w:sz w:val="44"/>
          <w:szCs w:val="44"/>
        </w:rPr>
      </w:pPr>
    </w:p>
    <w:p w14:paraId="0668FFB5">
      <w:pPr>
        <w:widowControl/>
        <w:jc w:val="center"/>
        <w:rPr>
          <w:rFonts w:hint="eastAsia" w:ascii="黑体" w:hAnsi="ˎ̥" w:eastAsia="黑体" w:cs="宋体"/>
          <w:bCs/>
          <w:color w:val="000000"/>
          <w:kern w:val="0"/>
          <w:sz w:val="44"/>
          <w:szCs w:val="44"/>
        </w:rPr>
      </w:pPr>
    </w:p>
    <w:p w14:paraId="0D3AC731">
      <w:pPr>
        <w:widowControl/>
        <w:jc w:val="center"/>
        <w:rPr>
          <w:rFonts w:hint="eastAsia" w:ascii="黑体" w:hAnsi="ˎ̥" w:eastAsia="黑体" w:cs="宋体"/>
          <w:bCs/>
          <w:color w:val="000000"/>
          <w:kern w:val="0"/>
          <w:sz w:val="44"/>
          <w:szCs w:val="44"/>
        </w:rPr>
      </w:pPr>
    </w:p>
    <w:p w14:paraId="14B437E6">
      <w:pPr>
        <w:pStyle w:val="2"/>
        <w:jc w:val="center"/>
        <w:rPr>
          <w:rFonts w:ascii="仿宋_GB2312" w:eastAsia="仿宋_GB2312"/>
          <w:sz w:val="32"/>
          <w:szCs w:val="32"/>
        </w:rPr>
      </w:pPr>
      <w:bookmarkStart w:id="7" w:name="_Toc7542"/>
      <w:r>
        <w:rPr>
          <w:rFonts w:hint="eastAsia"/>
        </w:rPr>
        <w:t>答疑纪要、澄清修改文件备案工作制度</w:t>
      </w:r>
      <w:bookmarkEnd w:id="7"/>
    </w:p>
    <w:p w14:paraId="068847C2">
      <w:pPr>
        <w:widowControl/>
        <w:ind w:firstLine="640" w:firstLineChars="200"/>
        <w:rPr>
          <w:rFonts w:hint="eastAsia" w:ascii="仿宋_GB2312" w:hAnsi="ˎ̥" w:eastAsia="仿宋_GB2312" w:cs="宋体"/>
          <w:color w:val="000000"/>
          <w:kern w:val="0"/>
          <w:sz w:val="32"/>
          <w:szCs w:val="32"/>
        </w:rPr>
      </w:pPr>
    </w:p>
    <w:p w14:paraId="315271DE">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7BC349B8">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招标文件已发布。</w:t>
      </w:r>
    </w:p>
    <w:p w14:paraId="17106F54">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03970F29">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招标人或其委托的招标代理机构</w:t>
      </w:r>
      <w:r>
        <w:rPr>
          <w:rFonts w:ascii="仿宋_GB2312" w:hAnsi="ˎ̥" w:eastAsia="仿宋_GB2312" w:cs="宋体"/>
          <w:color w:val="000000"/>
          <w:kern w:val="0"/>
          <w:sz w:val="32"/>
          <w:szCs w:val="32"/>
        </w:rPr>
        <w:t>对已发出的招标文件进行必要的澄清或者修改的，应当在招标文件要求提交投标文件截止时间至少15日前，以书面形式通知所有招标文件收受人。</w:t>
      </w:r>
    </w:p>
    <w:p w14:paraId="26C18055">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3908BAE6">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答疑纪要、</w:t>
      </w:r>
      <w:r>
        <w:rPr>
          <w:rFonts w:ascii="仿宋_GB2312" w:hAnsi="ˎ̥" w:eastAsia="仿宋_GB2312" w:cs="宋体"/>
          <w:color w:val="000000"/>
          <w:kern w:val="0"/>
          <w:sz w:val="32"/>
          <w:szCs w:val="32"/>
        </w:rPr>
        <w:t>澄清修改</w:t>
      </w:r>
      <w:r>
        <w:rPr>
          <w:rFonts w:hint="eastAsia" w:ascii="仿宋_GB2312" w:hAnsi="ˎ̥" w:eastAsia="仿宋_GB2312" w:cs="宋体"/>
          <w:color w:val="000000"/>
          <w:kern w:val="0"/>
          <w:sz w:val="32"/>
          <w:szCs w:val="32"/>
        </w:rPr>
        <w:t>文件</w:t>
      </w:r>
      <w:r>
        <w:rPr>
          <w:rFonts w:ascii="仿宋_GB2312" w:hAnsi="ˎ̥" w:eastAsia="仿宋_GB2312" w:cs="宋体"/>
          <w:color w:val="000000"/>
          <w:kern w:val="0"/>
          <w:sz w:val="32"/>
          <w:szCs w:val="32"/>
        </w:rPr>
        <w:t>的内容为招标文件的组成部分</w:t>
      </w: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答疑纪要、</w:t>
      </w:r>
      <w:r>
        <w:rPr>
          <w:rFonts w:ascii="仿宋_GB2312" w:hAnsi="ˎ̥" w:eastAsia="仿宋_GB2312" w:cs="宋体"/>
          <w:color w:val="000000"/>
          <w:kern w:val="0"/>
          <w:sz w:val="32"/>
          <w:szCs w:val="32"/>
        </w:rPr>
        <w:t>澄清修改</w:t>
      </w:r>
      <w:r>
        <w:rPr>
          <w:rFonts w:hint="eastAsia" w:ascii="仿宋_GB2312" w:hAnsi="ˎ̥" w:eastAsia="仿宋_GB2312" w:cs="宋体"/>
          <w:color w:val="000000"/>
          <w:kern w:val="0"/>
          <w:sz w:val="32"/>
          <w:szCs w:val="32"/>
        </w:rPr>
        <w:t>文件</w:t>
      </w:r>
      <w:r>
        <w:rPr>
          <w:rFonts w:ascii="仿宋_GB2312" w:hAnsi="ˎ̥" w:eastAsia="仿宋_GB2312" w:cs="宋体"/>
          <w:color w:val="000000"/>
          <w:kern w:val="0"/>
          <w:sz w:val="32"/>
          <w:szCs w:val="32"/>
        </w:rPr>
        <w:t>有违反法律、法规内容的，应当责令招标人或其委托的招标代理机构改正。</w:t>
      </w:r>
    </w:p>
    <w:p w14:paraId="20EAA0CF">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403CCA0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事中、事后监管事项</w:t>
      </w:r>
    </w:p>
    <w:p w14:paraId="77F9688A">
      <w:pPr>
        <w:widowControl/>
        <w:ind w:firstLine="627" w:firstLineChars="196"/>
        <w:rPr>
          <w:rFonts w:hint="eastAsia" w:ascii="仿宋_GB2312" w:hAnsi="ˎ̥" w:eastAsia="仿宋_GB2312" w:cs="宋体"/>
          <w:color w:val="000000"/>
          <w:kern w:val="0"/>
          <w:sz w:val="32"/>
          <w:szCs w:val="32"/>
        </w:rPr>
      </w:pPr>
    </w:p>
    <w:p w14:paraId="2BEC57F7">
      <w:pPr>
        <w:widowControl/>
        <w:ind w:firstLine="627" w:firstLineChars="196"/>
        <w:rPr>
          <w:rFonts w:hint="eastAsia" w:ascii="仿宋_GB2312" w:hAnsi="ˎ̥" w:eastAsia="仿宋_GB2312" w:cs="宋体"/>
          <w:color w:val="000000"/>
          <w:kern w:val="0"/>
          <w:sz w:val="32"/>
          <w:szCs w:val="32"/>
        </w:rPr>
      </w:pPr>
    </w:p>
    <w:p w14:paraId="76D138C4">
      <w:pPr>
        <w:widowControl/>
        <w:ind w:firstLine="627" w:firstLineChars="196"/>
        <w:rPr>
          <w:rFonts w:hint="eastAsia" w:ascii="仿宋_GB2312" w:hAnsi="ˎ̥" w:eastAsia="仿宋_GB2312" w:cs="宋体"/>
          <w:color w:val="000000"/>
          <w:kern w:val="0"/>
          <w:sz w:val="32"/>
          <w:szCs w:val="32"/>
        </w:rPr>
      </w:pPr>
    </w:p>
    <w:p w14:paraId="31AC8109">
      <w:pPr>
        <w:widowControl/>
        <w:ind w:firstLine="627" w:firstLineChars="196"/>
        <w:rPr>
          <w:rFonts w:hint="eastAsia" w:ascii="仿宋_GB2312" w:hAnsi="ˎ̥" w:eastAsia="仿宋_GB2312" w:cs="宋体"/>
          <w:color w:val="000000"/>
          <w:kern w:val="0"/>
          <w:sz w:val="32"/>
          <w:szCs w:val="32"/>
        </w:rPr>
      </w:pPr>
    </w:p>
    <w:p w14:paraId="3A739E84">
      <w:pPr>
        <w:widowControl/>
        <w:ind w:firstLine="627" w:firstLineChars="196"/>
        <w:rPr>
          <w:rFonts w:hint="eastAsia" w:ascii="仿宋_GB2312" w:hAnsi="ˎ̥" w:eastAsia="仿宋_GB2312" w:cs="宋体"/>
          <w:color w:val="000000"/>
          <w:kern w:val="0"/>
          <w:sz w:val="32"/>
          <w:szCs w:val="32"/>
        </w:rPr>
      </w:pPr>
    </w:p>
    <w:p w14:paraId="49087CE4">
      <w:pPr>
        <w:widowControl/>
        <w:ind w:firstLine="627" w:firstLineChars="196"/>
        <w:rPr>
          <w:rFonts w:hint="eastAsia" w:ascii="仿宋_GB2312" w:hAnsi="ˎ̥" w:eastAsia="仿宋_GB2312" w:cs="宋体"/>
          <w:color w:val="000000"/>
          <w:kern w:val="0"/>
          <w:sz w:val="32"/>
          <w:szCs w:val="32"/>
        </w:rPr>
      </w:pPr>
    </w:p>
    <w:p w14:paraId="3CC44FAB">
      <w:pPr>
        <w:widowControl/>
        <w:ind w:firstLine="627" w:firstLineChars="196"/>
        <w:rPr>
          <w:rFonts w:hint="eastAsia" w:ascii="仿宋_GB2312" w:hAnsi="ˎ̥" w:eastAsia="仿宋_GB2312" w:cs="宋体"/>
          <w:color w:val="000000"/>
          <w:kern w:val="0"/>
          <w:sz w:val="32"/>
          <w:szCs w:val="32"/>
        </w:rPr>
      </w:pPr>
    </w:p>
    <w:p w14:paraId="389892E6">
      <w:pPr>
        <w:widowControl/>
        <w:jc w:val="center"/>
        <w:rPr>
          <w:rFonts w:hint="eastAsia" w:ascii="黑体" w:hAnsi="ˎ̥" w:eastAsia="黑体" w:cs="宋体"/>
          <w:color w:val="000000"/>
          <w:kern w:val="0"/>
          <w:sz w:val="44"/>
          <w:szCs w:val="44"/>
        </w:rPr>
      </w:pPr>
    </w:p>
    <w:p w14:paraId="35B68F17">
      <w:pPr>
        <w:widowControl/>
        <w:rPr>
          <w:rFonts w:hint="eastAsia" w:ascii="黑体" w:hAnsi="ˎ̥" w:eastAsia="黑体" w:cs="宋体"/>
          <w:color w:val="000000"/>
          <w:kern w:val="0"/>
          <w:sz w:val="44"/>
          <w:szCs w:val="44"/>
        </w:rPr>
      </w:pPr>
    </w:p>
    <w:p w14:paraId="5AA52579">
      <w:pPr>
        <w:pStyle w:val="2"/>
        <w:jc w:val="center"/>
      </w:pPr>
      <w:bookmarkStart w:id="8" w:name="_Toc4612"/>
      <w:r>
        <w:rPr>
          <w:rFonts w:hint="eastAsia"/>
        </w:rPr>
        <w:t>开、评标现场监管工作制度</w:t>
      </w:r>
      <w:bookmarkEnd w:id="8"/>
    </w:p>
    <w:p w14:paraId="2C8242E8">
      <w:pPr>
        <w:widowControl/>
        <w:ind w:firstLine="420" w:firstLineChars="200"/>
        <w:rPr>
          <w:rFonts w:hint="eastAsia" w:ascii="仿宋_GB2312" w:hAnsi="ˎ̥" w:eastAsia="仿宋_GB2312" w:cs="宋体"/>
          <w:color w:val="000000"/>
          <w:kern w:val="0"/>
          <w:szCs w:val="21"/>
        </w:rPr>
      </w:pPr>
    </w:p>
    <w:p w14:paraId="540EE05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6970D55B">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招标文件已发布。</w:t>
      </w:r>
    </w:p>
    <w:p w14:paraId="016A52E2">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640AF571">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开标应当在招标文件确定的提交投标文件截止时间的同一时间公开进行</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t>开标地点应当为招标文件中预先确定的地点</w:t>
      </w:r>
      <w:r>
        <w:rPr>
          <w:rFonts w:hint="eastAsia" w:ascii="仿宋_GB2312" w:hAnsi="ˎ̥" w:eastAsia="仿宋_GB2312" w:cs="宋体"/>
          <w:color w:val="000000"/>
          <w:kern w:val="0"/>
          <w:sz w:val="32"/>
          <w:szCs w:val="32"/>
        </w:rPr>
        <w:t>；</w:t>
      </w:r>
    </w:p>
    <w:p w14:paraId="31457575">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2、招标部应指派工作人员对开标过程进行监督，并在《开标现场监督记录表》上签字确认。</w:t>
      </w:r>
    </w:p>
    <w:p w14:paraId="79A2CC5E">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3、开标现场录像资料及《开标现场监督记录表》存档备查。</w:t>
      </w:r>
    </w:p>
    <w:p w14:paraId="00AB1378">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5F31D3D2">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1、招标部指派执法人员对开评标过程进行监管，监督</w:t>
      </w:r>
      <w:r>
        <w:rPr>
          <w:rFonts w:ascii="仿宋_GB2312" w:hAnsi="ˎ̥" w:eastAsia="仿宋_GB2312" w:cs="宋体"/>
          <w:color w:val="000000"/>
          <w:kern w:val="0"/>
          <w:sz w:val="32"/>
          <w:szCs w:val="32"/>
        </w:rPr>
        <w:t>招标人或其委托的招标代理机构</w:t>
      </w:r>
      <w:r>
        <w:rPr>
          <w:rFonts w:hint="eastAsia" w:ascii="仿宋_GB2312" w:hAnsi="ˎ̥" w:eastAsia="仿宋_GB2312" w:cs="宋体"/>
          <w:color w:val="000000"/>
          <w:kern w:val="0"/>
          <w:sz w:val="32"/>
          <w:szCs w:val="32"/>
        </w:rPr>
        <w:t>、投标人、评标专家在开评标过程中的各项行为是否符合法律法规的规定。</w:t>
      </w:r>
    </w:p>
    <w:p w14:paraId="596A2082">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开评标过程有</w:t>
      </w:r>
      <w:r>
        <w:rPr>
          <w:rFonts w:ascii="仿宋_GB2312" w:hAnsi="ˎ̥" w:eastAsia="仿宋_GB2312" w:cs="宋体"/>
          <w:color w:val="000000"/>
          <w:kern w:val="0"/>
          <w:sz w:val="32"/>
          <w:szCs w:val="32"/>
        </w:rPr>
        <w:t>违反法律、法规内容的，应当责令招标人或其委托的招标代理机构</w:t>
      </w:r>
      <w:r>
        <w:rPr>
          <w:rFonts w:hint="eastAsia" w:ascii="仿宋_GB2312" w:hAnsi="ˎ̥" w:eastAsia="仿宋_GB2312" w:cs="宋体"/>
          <w:color w:val="000000"/>
          <w:kern w:val="0"/>
          <w:sz w:val="32"/>
          <w:szCs w:val="32"/>
        </w:rPr>
        <w:t>、投标人、评标专家</w:t>
      </w:r>
      <w:r>
        <w:rPr>
          <w:rFonts w:ascii="仿宋_GB2312" w:hAnsi="ˎ̥" w:eastAsia="仿宋_GB2312" w:cs="宋体"/>
          <w:color w:val="000000"/>
          <w:kern w:val="0"/>
          <w:sz w:val="32"/>
          <w:szCs w:val="32"/>
        </w:rPr>
        <w:t>改正。</w:t>
      </w:r>
    </w:p>
    <w:p w14:paraId="74E49916">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评标过程有下列情况之一的，评标无效，应当依法重新进行评标或者重新进行招标：</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w:t>
      </w: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）使用招标文件没有确定的评标标准和方法的；</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w:t>
      </w: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）评标标准和方法含有倾向或者排斥投标人的内容，妨碍或者限制投标人之间竞争，且影响评标结果的；</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w:t>
      </w: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）应当回避担任评标委员会成员的人参与评标的；</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w:t>
      </w: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）评标委员会的组建及人员组成不符合法定要求的；</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w:t>
      </w:r>
      <w:r>
        <w:rPr>
          <w:rFonts w:hint="eastAsia" w:ascii="仿宋_GB2312" w:hAnsi="ˎ̥" w:eastAsia="仿宋_GB2312" w:cs="宋体"/>
          <w:color w:val="000000"/>
          <w:kern w:val="0"/>
          <w:sz w:val="32"/>
          <w:szCs w:val="32"/>
        </w:rPr>
        <w:t>5</w:t>
      </w:r>
      <w:r>
        <w:rPr>
          <w:rFonts w:ascii="仿宋_GB2312" w:hAnsi="ˎ̥" w:eastAsia="仿宋_GB2312" w:cs="宋体"/>
          <w:color w:val="000000"/>
          <w:kern w:val="0"/>
          <w:sz w:val="32"/>
          <w:szCs w:val="32"/>
        </w:rPr>
        <w:t>）评标委员会及其成员在评标过程中有违法行为，且影响评标结果的。</w:t>
      </w:r>
    </w:p>
    <w:p w14:paraId="67F95AE0">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304F764B">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事中、事后监管事项</w:t>
      </w:r>
    </w:p>
    <w:p w14:paraId="35EB19E5">
      <w:pPr>
        <w:ind w:firstLine="640" w:firstLineChars="200"/>
        <w:rPr>
          <w:rFonts w:hint="eastAsia" w:ascii="仿宋_GB2312" w:hAnsi="ˎ̥" w:eastAsia="仿宋_GB2312" w:cs="宋体"/>
          <w:color w:val="000000"/>
          <w:kern w:val="0"/>
          <w:sz w:val="32"/>
          <w:szCs w:val="32"/>
        </w:rPr>
      </w:pPr>
    </w:p>
    <w:p w14:paraId="4A5F1C91">
      <w:pPr>
        <w:ind w:firstLine="640" w:firstLineChars="200"/>
        <w:rPr>
          <w:rFonts w:hint="eastAsia" w:ascii="仿宋_GB2312" w:hAnsi="ˎ̥" w:eastAsia="仿宋_GB2312" w:cs="宋体"/>
          <w:color w:val="000000"/>
          <w:kern w:val="0"/>
          <w:sz w:val="32"/>
          <w:szCs w:val="32"/>
        </w:rPr>
      </w:pPr>
    </w:p>
    <w:p w14:paraId="25B8DE96">
      <w:pPr>
        <w:ind w:firstLine="640" w:firstLineChars="200"/>
        <w:rPr>
          <w:rFonts w:hint="eastAsia" w:ascii="仿宋_GB2312" w:hAnsi="ˎ̥" w:eastAsia="仿宋_GB2312" w:cs="宋体"/>
          <w:color w:val="000000"/>
          <w:kern w:val="0"/>
          <w:sz w:val="32"/>
          <w:szCs w:val="32"/>
        </w:rPr>
      </w:pPr>
    </w:p>
    <w:p w14:paraId="0BF0AA45">
      <w:pPr>
        <w:ind w:firstLine="640" w:firstLineChars="200"/>
        <w:rPr>
          <w:rFonts w:hint="eastAsia" w:ascii="仿宋_GB2312" w:hAnsi="ˎ̥" w:eastAsia="仿宋_GB2312" w:cs="宋体"/>
          <w:color w:val="000000"/>
          <w:kern w:val="0"/>
          <w:sz w:val="32"/>
          <w:szCs w:val="32"/>
        </w:rPr>
      </w:pPr>
    </w:p>
    <w:p w14:paraId="4381D849">
      <w:pPr>
        <w:ind w:firstLine="640" w:firstLineChars="200"/>
        <w:rPr>
          <w:rFonts w:hint="eastAsia" w:ascii="仿宋_GB2312" w:hAnsi="ˎ̥" w:eastAsia="仿宋_GB2312" w:cs="宋体"/>
          <w:color w:val="000000"/>
          <w:kern w:val="0"/>
          <w:sz w:val="32"/>
          <w:szCs w:val="32"/>
        </w:rPr>
      </w:pPr>
    </w:p>
    <w:p w14:paraId="0FABAAC8">
      <w:pPr>
        <w:ind w:firstLine="640" w:firstLineChars="200"/>
        <w:rPr>
          <w:rFonts w:hint="eastAsia" w:ascii="仿宋_GB2312" w:hAnsi="ˎ̥" w:eastAsia="仿宋_GB2312" w:cs="宋体"/>
          <w:color w:val="000000"/>
          <w:kern w:val="0"/>
          <w:sz w:val="32"/>
          <w:szCs w:val="32"/>
        </w:rPr>
      </w:pPr>
    </w:p>
    <w:p w14:paraId="0CF77095">
      <w:pPr>
        <w:ind w:firstLine="640" w:firstLineChars="200"/>
        <w:rPr>
          <w:rFonts w:hint="eastAsia" w:ascii="仿宋_GB2312" w:hAnsi="ˎ̥" w:eastAsia="仿宋_GB2312" w:cs="宋体"/>
          <w:color w:val="000000"/>
          <w:kern w:val="0"/>
          <w:sz w:val="32"/>
          <w:szCs w:val="32"/>
        </w:rPr>
      </w:pPr>
    </w:p>
    <w:p w14:paraId="56FFFE02">
      <w:pPr>
        <w:ind w:firstLine="640" w:firstLineChars="200"/>
        <w:rPr>
          <w:rFonts w:hint="eastAsia" w:ascii="仿宋_GB2312" w:hAnsi="ˎ̥" w:eastAsia="仿宋_GB2312" w:cs="宋体"/>
          <w:color w:val="000000"/>
          <w:kern w:val="0"/>
          <w:sz w:val="32"/>
          <w:szCs w:val="32"/>
        </w:rPr>
      </w:pPr>
    </w:p>
    <w:p w14:paraId="008848D4">
      <w:pPr>
        <w:ind w:firstLine="640" w:firstLineChars="200"/>
        <w:rPr>
          <w:rFonts w:hint="eastAsia" w:ascii="仿宋_GB2312" w:hAnsi="ˎ̥" w:eastAsia="仿宋_GB2312" w:cs="宋体"/>
          <w:color w:val="000000"/>
          <w:kern w:val="0"/>
          <w:sz w:val="32"/>
          <w:szCs w:val="32"/>
        </w:rPr>
      </w:pPr>
    </w:p>
    <w:p w14:paraId="7A99D2F3">
      <w:pPr>
        <w:ind w:firstLine="640" w:firstLineChars="200"/>
        <w:rPr>
          <w:rFonts w:hint="eastAsia" w:ascii="仿宋_GB2312" w:hAnsi="ˎ̥" w:eastAsia="仿宋_GB2312" w:cs="宋体"/>
          <w:color w:val="000000"/>
          <w:kern w:val="0"/>
          <w:sz w:val="32"/>
          <w:szCs w:val="32"/>
        </w:rPr>
      </w:pPr>
    </w:p>
    <w:p w14:paraId="517AAF4C">
      <w:pPr>
        <w:ind w:firstLine="640" w:firstLineChars="200"/>
        <w:rPr>
          <w:rFonts w:hint="eastAsia" w:ascii="仿宋_GB2312" w:hAnsi="ˎ̥" w:eastAsia="仿宋_GB2312" w:cs="宋体"/>
          <w:color w:val="000000"/>
          <w:kern w:val="0"/>
          <w:sz w:val="32"/>
          <w:szCs w:val="32"/>
        </w:rPr>
      </w:pPr>
    </w:p>
    <w:p w14:paraId="7B70BBFF">
      <w:pPr>
        <w:ind w:firstLine="640" w:firstLineChars="200"/>
        <w:rPr>
          <w:rFonts w:hint="eastAsia" w:ascii="仿宋_GB2312" w:hAnsi="ˎ̥" w:eastAsia="仿宋_GB2312" w:cs="宋体"/>
          <w:color w:val="000000"/>
          <w:kern w:val="0"/>
          <w:sz w:val="32"/>
          <w:szCs w:val="32"/>
        </w:rPr>
      </w:pPr>
    </w:p>
    <w:p w14:paraId="1CDCA733">
      <w:pPr>
        <w:ind w:firstLine="640" w:firstLineChars="200"/>
        <w:rPr>
          <w:rFonts w:hint="eastAsia" w:ascii="仿宋_GB2312" w:hAnsi="ˎ̥" w:eastAsia="仿宋_GB2312" w:cs="宋体"/>
          <w:color w:val="000000"/>
          <w:kern w:val="0"/>
          <w:sz w:val="32"/>
          <w:szCs w:val="32"/>
        </w:rPr>
      </w:pPr>
    </w:p>
    <w:p w14:paraId="6CA043DD">
      <w:pPr>
        <w:ind w:firstLine="640" w:firstLineChars="200"/>
        <w:rPr>
          <w:rFonts w:hint="eastAsia" w:ascii="仿宋_GB2312" w:hAnsi="ˎ̥" w:eastAsia="仿宋_GB2312" w:cs="宋体"/>
          <w:color w:val="000000"/>
          <w:kern w:val="0"/>
          <w:sz w:val="32"/>
          <w:szCs w:val="32"/>
        </w:rPr>
      </w:pPr>
    </w:p>
    <w:p w14:paraId="4A168903">
      <w:pPr>
        <w:ind w:firstLine="640" w:firstLineChars="200"/>
        <w:rPr>
          <w:rFonts w:hint="eastAsia" w:ascii="仿宋_GB2312" w:hAnsi="ˎ̥" w:eastAsia="仿宋_GB2312" w:cs="宋体"/>
          <w:color w:val="000000"/>
          <w:kern w:val="0"/>
          <w:sz w:val="32"/>
          <w:szCs w:val="32"/>
        </w:rPr>
      </w:pPr>
    </w:p>
    <w:p w14:paraId="0DB9778C">
      <w:pPr>
        <w:ind w:firstLine="640" w:firstLineChars="200"/>
        <w:rPr>
          <w:rFonts w:hint="eastAsia" w:ascii="仿宋_GB2312" w:hAnsi="ˎ̥" w:eastAsia="仿宋_GB2312" w:cs="宋体"/>
          <w:color w:val="000000"/>
          <w:kern w:val="0"/>
          <w:sz w:val="32"/>
          <w:szCs w:val="32"/>
        </w:rPr>
      </w:pPr>
    </w:p>
    <w:p w14:paraId="0DD03358">
      <w:pPr>
        <w:widowControl/>
        <w:jc w:val="center"/>
        <w:rPr>
          <w:rFonts w:hint="eastAsia" w:ascii="黑体" w:hAnsi="ˎ̥" w:eastAsia="黑体" w:cs="宋体"/>
          <w:color w:val="000000"/>
          <w:kern w:val="0"/>
          <w:sz w:val="44"/>
          <w:szCs w:val="44"/>
        </w:rPr>
      </w:pPr>
    </w:p>
    <w:p w14:paraId="7929A3A2">
      <w:pPr>
        <w:widowControl/>
        <w:jc w:val="center"/>
        <w:rPr>
          <w:rFonts w:hint="eastAsia" w:ascii="黑体" w:hAnsi="ˎ̥" w:eastAsia="黑体" w:cs="宋体"/>
          <w:color w:val="000000"/>
          <w:kern w:val="0"/>
          <w:sz w:val="44"/>
          <w:szCs w:val="44"/>
        </w:rPr>
      </w:pPr>
    </w:p>
    <w:p w14:paraId="289472AF">
      <w:pPr>
        <w:widowControl/>
        <w:jc w:val="center"/>
        <w:rPr>
          <w:rFonts w:hint="eastAsia" w:ascii="黑体" w:hAnsi="ˎ̥" w:eastAsia="黑体" w:cs="宋体"/>
          <w:color w:val="000000"/>
          <w:kern w:val="0"/>
          <w:sz w:val="44"/>
          <w:szCs w:val="44"/>
        </w:rPr>
      </w:pPr>
    </w:p>
    <w:p w14:paraId="0C86E111">
      <w:pPr>
        <w:widowControl/>
        <w:jc w:val="center"/>
        <w:rPr>
          <w:rFonts w:hint="eastAsia" w:ascii="黑体" w:hAnsi="ˎ̥" w:eastAsia="黑体" w:cs="宋体"/>
          <w:color w:val="000000"/>
          <w:kern w:val="0"/>
          <w:sz w:val="44"/>
          <w:szCs w:val="44"/>
        </w:rPr>
      </w:pPr>
    </w:p>
    <w:p w14:paraId="405776F3">
      <w:pPr>
        <w:widowControl/>
        <w:rPr>
          <w:rFonts w:hint="eastAsia" w:ascii="黑体" w:hAnsi="ˎ̥" w:eastAsia="黑体" w:cs="宋体"/>
          <w:color w:val="000000"/>
          <w:kern w:val="0"/>
          <w:sz w:val="44"/>
          <w:szCs w:val="44"/>
        </w:rPr>
      </w:pPr>
    </w:p>
    <w:p w14:paraId="15643BAF">
      <w:pPr>
        <w:pStyle w:val="2"/>
        <w:jc w:val="center"/>
      </w:pPr>
      <w:bookmarkStart w:id="9" w:name="_Toc28764"/>
      <w:r>
        <w:rPr>
          <w:rFonts w:hint="eastAsia"/>
        </w:rPr>
        <w:t>定标备案工作制度</w:t>
      </w:r>
      <w:bookmarkEnd w:id="9"/>
    </w:p>
    <w:p w14:paraId="600E290F">
      <w:pPr>
        <w:widowControl/>
        <w:ind w:firstLine="640" w:firstLineChars="200"/>
        <w:rPr>
          <w:rFonts w:hint="eastAsia" w:ascii="仿宋_GB2312" w:hAnsi="ˎ̥" w:eastAsia="仿宋_GB2312" w:cs="宋体"/>
          <w:color w:val="000000"/>
          <w:kern w:val="0"/>
          <w:sz w:val="32"/>
          <w:szCs w:val="32"/>
        </w:rPr>
      </w:pPr>
    </w:p>
    <w:p w14:paraId="357F68E8">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253AD527">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（一）评标委员会提供的《书面评标报告》，主要包括以下内容：</w:t>
      </w:r>
    </w:p>
    <w:p w14:paraId="7E9E721C">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基本情况和数据表；</w:t>
      </w:r>
    </w:p>
    <w:p w14:paraId="36F7034B">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评标委员会成员名单；</w:t>
      </w:r>
    </w:p>
    <w:p w14:paraId="397B1ED3">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开标记录；</w:t>
      </w:r>
    </w:p>
    <w:p w14:paraId="575EA95D">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符合要求的投标一览表；</w:t>
      </w:r>
    </w:p>
    <w:p w14:paraId="240C1581">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5、</w:t>
      </w:r>
      <w:r>
        <w:rPr>
          <w:rFonts w:ascii="仿宋_GB2312" w:hAnsi="ˎ̥" w:eastAsia="仿宋_GB2312" w:cs="宋体"/>
          <w:color w:val="000000"/>
          <w:kern w:val="0"/>
          <w:sz w:val="32"/>
          <w:szCs w:val="32"/>
        </w:rPr>
        <w:t>废标情况说明；</w:t>
      </w:r>
    </w:p>
    <w:p w14:paraId="0732E9A1">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6、</w:t>
      </w:r>
      <w:r>
        <w:rPr>
          <w:rFonts w:ascii="仿宋_GB2312" w:hAnsi="ˎ̥" w:eastAsia="仿宋_GB2312" w:cs="宋体"/>
          <w:color w:val="000000"/>
          <w:kern w:val="0"/>
          <w:sz w:val="32"/>
          <w:szCs w:val="32"/>
        </w:rPr>
        <w:t>评标标准、评标方法或者评标因素一览表；</w:t>
      </w:r>
    </w:p>
    <w:p w14:paraId="7F25783A">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7、</w:t>
      </w:r>
      <w:r>
        <w:rPr>
          <w:rFonts w:ascii="仿宋_GB2312" w:hAnsi="ˎ̥" w:eastAsia="仿宋_GB2312" w:cs="宋体"/>
          <w:color w:val="000000"/>
          <w:kern w:val="0"/>
          <w:sz w:val="32"/>
          <w:szCs w:val="32"/>
        </w:rPr>
        <w:t>经评审的价格或者评分比较一览表；</w:t>
      </w:r>
    </w:p>
    <w:p w14:paraId="7A754894">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8、</w:t>
      </w:r>
      <w:r>
        <w:rPr>
          <w:rFonts w:ascii="仿宋_GB2312" w:hAnsi="ˎ̥" w:eastAsia="仿宋_GB2312" w:cs="宋体"/>
          <w:color w:val="000000"/>
          <w:kern w:val="0"/>
          <w:sz w:val="32"/>
          <w:szCs w:val="32"/>
        </w:rPr>
        <w:t>经评审的投标人排序；</w:t>
      </w:r>
    </w:p>
    <w:p w14:paraId="5A518BD2">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9、</w:t>
      </w:r>
      <w:r>
        <w:rPr>
          <w:rFonts w:ascii="仿宋_GB2312" w:hAnsi="ˎ̥" w:eastAsia="仿宋_GB2312" w:cs="宋体"/>
          <w:color w:val="000000"/>
          <w:kern w:val="0"/>
          <w:sz w:val="32"/>
          <w:szCs w:val="32"/>
        </w:rPr>
        <w:t>推荐的中标候选人名单与签订合同前要处理的事宜；</w:t>
      </w:r>
    </w:p>
    <w:p w14:paraId="0FCB7ADF">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10、</w:t>
      </w:r>
      <w:r>
        <w:rPr>
          <w:rFonts w:ascii="仿宋_GB2312" w:hAnsi="ˎ̥" w:eastAsia="仿宋_GB2312" w:cs="宋体"/>
          <w:color w:val="000000"/>
          <w:kern w:val="0"/>
          <w:sz w:val="32"/>
          <w:szCs w:val="32"/>
        </w:rPr>
        <w:t>澄清、说明、补正事项纪要。</w:t>
      </w:r>
    </w:p>
    <w:p w14:paraId="41271E4C">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（二）定标报告。</w:t>
      </w:r>
    </w:p>
    <w:p w14:paraId="1A46CEE4">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4EBE8895">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1、评标委员会完成评标后，应当向招标人提出《书面评标报告》；</w:t>
      </w:r>
    </w:p>
    <w:p w14:paraId="0C6489F7">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评标委员会</w:t>
      </w:r>
      <w:r>
        <w:rPr>
          <w:rFonts w:hint="eastAsia" w:ascii="仿宋_GB2312" w:hAnsi="ˎ̥" w:eastAsia="仿宋_GB2312" w:cs="宋体"/>
          <w:color w:val="000000"/>
          <w:kern w:val="0"/>
          <w:sz w:val="32"/>
          <w:szCs w:val="32"/>
        </w:rPr>
        <w:t>《书面评标报告》</w:t>
      </w:r>
      <w:r>
        <w:rPr>
          <w:rFonts w:ascii="仿宋_GB2312" w:hAnsi="ˎ̥" w:eastAsia="仿宋_GB2312" w:cs="宋体"/>
          <w:color w:val="000000"/>
          <w:kern w:val="0"/>
          <w:sz w:val="32"/>
          <w:szCs w:val="32"/>
        </w:rPr>
        <w:t>推荐的中标候选人应当限定在一至三人，并标明排列顺序。招标人应当接受评标委员会推荐的中标候选人，不得在评标委员会推荐的中标候选人之外确定中标人</w:t>
      </w:r>
      <w:r>
        <w:rPr>
          <w:rFonts w:hint="eastAsia" w:ascii="仿宋_GB2312" w:hAnsi="ˎ̥" w:eastAsia="仿宋_GB2312" w:cs="宋体"/>
          <w:color w:val="000000"/>
          <w:kern w:val="0"/>
          <w:sz w:val="32"/>
          <w:szCs w:val="32"/>
        </w:rPr>
        <w:t>；</w:t>
      </w:r>
    </w:p>
    <w:p w14:paraId="333F0A13">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2705FAF8">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招标人可以授权评标委员会直接确定中标人</w:t>
      </w:r>
      <w:r>
        <w:rPr>
          <w:rFonts w:hint="eastAsia" w:ascii="仿宋_GB2312" w:hAnsi="ˎ̥" w:eastAsia="仿宋_GB2312" w:cs="宋体"/>
          <w:color w:val="000000"/>
          <w:kern w:val="0"/>
          <w:sz w:val="32"/>
          <w:szCs w:val="32"/>
        </w:rPr>
        <w:t>；</w:t>
      </w:r>
    </w:p>
    <w:p w14:paraId="7C6AE87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5、</w:t>
      </w:r>
      <w:r>
        <w:rPr>
          <w:rFonts w:ascii="仿宋_GB2312" w:hAnsi="ˎ̥" w:eastAsia="仿宋_GB2312" w:cs="宋体"/>
          <w:color w:val="000000"/>
          <w:kern w:val="0"/>
          <w:sz w:val="32"/>
          <w:szCs w:val="32"/>
        </w:rPr>
        <w:t>国务院对中标人的确定另有规定的，从其规定</w:t>
      </w:r>
      <w:r>
        <w:rPr>
          <w:rFonts w:hint="eastAsia" w:ascii="仿宋_GB2312" w:hAnsi="ˎ̥" w:eastAsia="仿宋_GB2312" w:cs="宋体"/>
          <w:color w:val="000000"/>
          <w:kern w:val="0"/>
          <w:sz w:val="32"/>
          <w:szCs w:val="32"/>
        </w:rPr>
        <w:t>；</w:t>
      </w:r>
    </w:p>
    <w:p w14:paraId="7A6E186B">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6、招标人</w:t>
      </w:r>
      <w:r>
        <w:rPr>
          <w:rFonts w:ascii="仿宋_GB2312" w:hAnsi="ˎ̥" w:eastAsia="仿宋_GB2312" w:cs="宋体"/>
          <w:color w:val="000000"/>
          <w:kern w:val="0"/>
          <w:sz w:val="32"/>
          <w:szCs w:val="32"/>
        </w:rPr>
        <w:t>确定中标人</w:t>
      </w:r>
      <w:r>
        <w:rPr>
          <w:rFonts w:hint="eastAsia" w:ascii="仿宋_GB2312" w:hAnsi="ˎ̥" w:eastAsia="仿宋_GB2312" w:cs="宋体"/>
          <w:color w:val="000000"/>
          <w:kern w:val="0"/>
          <w:sz w:val="32"/>
          <w:szCs w:val="32"/>
        </w:rPr>
        <w:t>发布中标公示。</w:t>
      </w:r>
    </w:p>
    <w:p w14:paraId="4D24F2CE">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42384D55">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定标过程中</w:t>
      </w:r>
      <w:r>
        <w:rPr>
          <w:rFonts w:ascii="仿宋_GB2312" w:hAnsi="ˎ̥" w:eastAsia="仿宋_GB2312" w:cs="宋体"/>
          <w:color w:val="000000"/>
          <w:kern w:val="0"/>
          <w:sz w:val="32"/>
          <w:szCs w:val="32"/>
        </w:rPr>
        <w:t>有违反法律、法规的，应当责令招标人改正。</w:t>
      </w:r>
    </w:p>
    <w:p w14:paraId="6AFE74B4">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招标人在评标委员会依法推荐的中标候选人以外确定中标人的，依法必须进行招标的项目在所有投标被评标委员会否决后自行确定中标人的，中标无效。</w:t>
      </w:r>
    </w:p>
    <w:p w14:paraId="3615E281">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634AA919">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事后监管事项</w:t>
      </w:r>
    </w:p>
    <w:p w14:paraId="468D1D27">
      <w:pPr>
        <w:widowControl/>
        <w:jc w:val="center"/>
        <w:rPr>
          <w:rFonts w:hint="eastAsia" w:ascii="黑体" w:hAnsi="ˎ̥" w:eastAsia="黑体" w:cs="宋体"/>
          <w:color w:val="000000"/>
          <w:kern w:val="0"/>
          <w:sz w:val="44"/>
          <w:szCs w:val="44"/>
        </w:rPr>
      </w:pPr>
    </w:p>
    <w:p w14:paraId="32542657">
      <w:pPr>
        <w:widowControl/>
        <w:jc w:val="center"/>
        <w:rPr>
          <w:rFonts w:hint="eastAsia" w:ascii="黑体" w:hAnsi="ˎ̥" w:eastAsia="黑体" w:cs="宋体"/>
          <w:color w:val="000000"/>
          <w:kern w:val="0"/>
          <w:sz w:val="44"/>
          <w:szCs w:val="44"/>
        </w:rPr>
      </w:pPr>
    </w:p>
    <w:p w14:paraId="0D21E42B">
      <w:pPr>
        <w:widowControl/>
        <w:jc w:val="center"/>
        <w:rPr>
          <w:rFonts w:hint="eastAsia" w:ascii="黑体" w:hAnsi="ˎ̥" w:eastAsia="黑体" w:cs="宋体"/>
          <w:color w:val="000000"/>
          <w:kern w:val="0"/>
          <w:sz w:val="44"/>
          <w:szCs w:val="44"/>
        </w:rPr>
      </w:pPr>
    </w:p>
    <w:p w14:paraId="4638A4F8">
      <w:pPr>
        <w:widowControl/>
        <w:jc w:val="center"/>
        <w:rPr>
          <w:rFonts w:hint="eastAsia" w:ascii="黑体" w:hAnsi="ˎ̥" w:eastAsia="黑体" w:cs="宋体"/>
          <w:color w:val="000000"/>
          <w:kern w:val="0"/>
          <w:sz w:val="44"/>
          <w:szCs w:val="44"/>
        </w:rPr>
      </w:pPr>
    </w:p>
    <w:p w14:paraId="63C1D488">
      <w:pPr>
        <w:widowControl/>
        <w:jc w:val="center"/>
        <w:rPr>
          <w:rFonts w:hint="eastAsia" w:ascii="黑体" w:hAnsi="ˎ̥" w:eastAsia="黑体" w:cs="宋体"/>
          <w:color w:val="000000"/>
          <w:kern w:val="0"/>
          <w:sz w:val="44"/>
          <w:szCs w:val="44"/>
        </w:rPr>
      </w:pPr>
    </w:p>
    <w:p w14:paraId="03790F5A">
      <w:pPr>
        <w:widowControl/>
        <w:jc w:val="center"/>
        <w:rPr>
          <w:rFonts w:hint="eastAsia" w:ascii="黑体" w:hAnsi="ˎ̥" w:eastAsia="黑体" w:cs="宋体"/>
          <w:color w:val="000000"/>
          <w:kern w:val="0"/>
          <w:sz w:val="44"/>
          <w:szCs w:val="44"/>
        </w:rPr>
      </w:pPr>
    </w:p>
    <w:p w14:paraId="30F5DE68">
      <w:pPr>
        <w:pStyle w:val="2"/>
        <w:jc w:val="center"/>
      </w:pPr>
      <w:bookmarkStart w:id="10" w:name="_Toc12602"/>
      <w:r>
        <w:rPr>
          <w:rFonts w:hint="eastAsia"/>
        </w:rPr>
        <w:t>中标公示管理工作制度</w:t>
      </w:r>
      <w:bookmarkEnd w:id="10"/>
    </w:p>
    <w:p w14:paraId="65D5117F">
      <w:pPr>
        <w:widowControl/>
        <w:ind w:firstLine="640" w:firstLineChars="200"/>
        <w:rPr>
          <w:rFonts w:hint="eastAsia" w:ascii="仿宋_GB2312" w:hAnsi="ˎ̥" w:eastAsia="仿宋_GB2312" w:cs="宋体"/>
          <w:color w:val="000000"/>
          <w:kern w:val="0"/>
          <w:sz w:val="32"/>
          <w:szCs w:val="32"/>
        </w:rPr>
      </w:pPr>
    </w:p>
    <w:p w14:paraId="57B262A7">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31D3A53F">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1、定标已完成；</w:t>
      </w:r>
    </w:p>
    <w:p w14:paraId="3B0385B6">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采用公开招标的</w:t>
      </w:r>
      <w:r>
        <w:rPr>
          <w:rFonts w:hint="eastAsia" w:ascii="仿宋_GB2312" w:hAnsi="ˎ̥" w:eastAsia="仿宋_GB2312" w:cs="宋体"/>
          <w:color w:val="000000"/>
          <w:kern w:val="0"/>
          <w:sz w:val="32"/>
          <w:szCs w:val="32"/>
        </w:rPr>
        <w:t>工程项目，须实行中标公示制度。公示内容包括招标人名称、招标代理机构名称、工程名称、开标时间、中标候选人名称、项目经理或有关技术人员信息、中标价、工期、公示时间和负责受理投诉的单位和联系电话。</w:t>
      </w:r>
    </w:p>
    <w:p w14:paraId="3CBCBD39">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1F4EDC37">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1、招标人或其委托的招标代理机构要将</w:t>
      </w:r>
      <w:r>
        <w:rPr>
          <w:rFonts w:ascii="仿宋_GB2312" w:hAnsi="ˎ̥" w:eastAsia="仿宋_GB2312" w:cs="宋体"/>
          <w:color w:val="000000"/>
          <w:kern w:val="0"/>
          <w:sz w:val="32"/>
          <w:szCs w:val="32"/>
        </w:rPr>
        <w:t>中标</w:t>
      </w:r>
      <w:r>
        <w:rPr>
          <w:rFonts w:hint="eastAsia" w:ascii="仿宋_GB2312" w:hAnsi="ˎ̥" w:eastAsia="仿宋_GB2312" w:cs="宋体"/>
          <w:color w:val="000000"/>
          <w:kern w:val="0"/>
          <w:sz w:val="32"/>
          <w:szCs w:val="32"/>
        </w:rPr>
        <w:t>候选</w:t>
      </w:r>
      <w:r>
        <w:rPr>
          <w:rFonts w:ascii="仿宋_GB2312" w:hAnsi="ˎ̥" w:eastAsia="仿宋_GB2312" w:cs="宋体"/>
          <w:color w:val="000000"/>
          <w:kern w:val="0"/>
          <w:sz w:val="32"/>
          <w:szCs w:val="32"/>
        </w:rPr>
        <w:t>人的情况在该工程项目招标公告发布的同一信息网络予以公示，公示时间不少于</w:t>
      </w:r>
      <w:r>
        <w:rPr>
          <w:rFonts w:hint="eastAsia" w:ascii="仿宋_GB2312" w:hAnsi="ˎ̥" w:eastAsia="仿宋_GB2312" w:cs="宋体"/>
          <w:color w:val="000000"/>
          <w:kern w:val="0"/>
          <w:sz w:val="32"/>
          <w:szCs w:val="32"/>
        </w:rPr>
        <w:t>3天；</w:t>
      </w:r>
      <w:r>
        <w:rPr>
          <w:rFonts w:ascii="仿宋_GB2312" w:hAnsi="ˎ̥" w:eastAsia="仿宋_GB2312" w:cs="宋体"/>
          <w:color w:val="000000"/>
          <w:kern w:val="0"/>
          <w:sz w:val="32"/>
          <w:szCs w:val="32"/>
        </w:rPr>
        <w:t xml:space="preserve"> </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　　</w:t>
      </w:r>
      <w:r>
        <w:rPr>
          <w:rFonts w:hint="eastAsia" w:ascii="仿宋_GB2312" w:hAnsi="ˎ̥" w:eastAsia="仿宋_GB2312" w:cs="宋体"/>
          <w:color w:val="000000"/>
          <w:kern w:val="0"/>
          <w:sz w:val="32"/>
          <w:szCs w:val="32"/>
        </w:rPr>
        <w:t>2、中标公示发布后，投标人或利害关系人可就开标评标活动的合法性和存在问题向招标部提出书面投诉质疑，同时附相应的证据材料或证明文件；</w:t>
      </w:r>
    </w:p>
    <w:p w14:paraId="4B37191C">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3、招标项目公示期满，各招投标利害关系方均无异议后，招标人方可发出中标通知书。</w:t>
      </w:r>
    </w:p>
    <w:p w14:paraId="131367E2">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217CD1C9">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中标公示过程中</w:t>
      </w:r>
      <w:r>
        <w:rPr>
          <w:rFonts w:ascii="仿宋_GB2312" w:hAnsi="ˎ̥" w:eastAsia="仿宋_GB2312" w:cs="宋体"/>
          <w:color w:val="000000"/>
          <w:kern w:val="0"/>
          <w:sz w:val="32"/>
          <w:szCs w:val="32"/>
        </w:rPr>
        <w:t>有违反法律、法规的，应当责令招标人或其委托的招标代理机构改正。</w:t>
      </w:r>
    </w:p>
    <w:p w14:paraId="7B526494">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0A64084E">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w:t>
      </w:r>
      <w:r>
        <w:rPr>
          <w:rFonts w:hint="eastAsia" w:ascii="仿宋_GB2312" w:hAnsi="ˎ̥" w:eastAsia="仿宋_GB2312" w:cs="宋体"/>
          <w:color w:val="000000"/>
          <w:kern w:val="0"/>
          <w:sz w:val="32"/>
          <w:szCs w:val="32"/>
          <w:lang w:eastAsia="zh-CN"/>
        </w:rPr>
        <w:t>监管</w:t>
      </w:r>
      <w:r>
        <w:rPr>
          <w:rFonts w:hint="eastAsia" w:ascii="仿宋_GB2312" w:hAnsi="ˎ̥" w:eastAsia="仿宋_GB2312" w:cs="宋体"/>
          <w:color w:val="000000"/>
          <w:kern w:val="0"/>
          <w:sz w:val="32"/>
          <w:szCs w:val="32"/>
        </w:rPr>
        <w:t>事项</w:t>
      </w:r>
    </w:p>
    <w:p w14:paraId="220C2C96">
      <w:pPr>
        <w:widowControl/>
        <w:rPr>
          <w:rFonts w:hint="eastAsia" w:ascii="黑体" w:hAnsi="ˎ̥" w:eastAsia="黑体" w:cs="宋体"/>
          <w:color w:val="000000"/>
          <w:kern w:val="0"/>
          <w:sz w:val="44"/>
          <w:szCs w:val="44"/>
        </w:rPr>
      </w:pPr>
    </w:p>
    <w:p w14:paraId="2FF3B0BE">
      <w:pPr>
        <w:pStyle w:val="2"/>
        <w:jc w:val="center"/>
      </w:pPr>
      <w:bookmarkStart w:id="11" w:name="_Toc27423"/>
      <w:r>
        <w:rPr>
          <w:rFonts w:hint="eastAsia"/>
        </w:rPr>
        <w:t>中标备案工作制度</w:t>
      </w:r>
      <w:bookmarkEnd w:id="11"/>
    </w:p>
    <w:p w14:paraId="645AFAA4">
      <w:pPr>
        <w:widowControl/>
        <w:ind w:firstLine="640" w:firstLineChars="200"/>
        <w:rPr>
          <w:rFonts w:hint="eastAsia" w:ascii="仿宋_GB2312" w:hAnsi="ˎ̥" w:eastAsia="仿宋_GB2312" w:cs="宋体"/>
          <w:color w:val="000000"/>
          <w:kern w:val="0"/>
          <w:sz w:val="32"/>
          <w:szCs w:val="32"/>
        </w:rPr>
      </w:pPr>
    </w:p>
    <w:p w14:paraId="06A47B33">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372EA72E">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中标公示后，招标人或其委托的招标代理机构通过网络向招标部递交《</w:t>
      </w:r>
      <w:r>
        <w:rPr>
          <w:rFonts w:ascii="仿宋_GB2312" w:hAnsi="ˎ̥" w:eastAsia="仿宋_GB2312" w:cs="宋体"/>
          <w:color w:val="000000"/>
          <w:kern w:val="0"/>
          <w:sz w:val="32"/>
          <w:szCs w:val="32"/>
        </w:rPr>
        <w:t>招标投标情况书面报告</w:t>
      </w:r>
      <w:r>
        <w:rPr>
          <w:rFonts w:hint="eastAsia" w:ascii="仿宋_GB2312" w:hAnsi="ˎ̥" w:eastAsia="仿宋_GB2312" w:cs="宋体"/>
          <w:color w:val="000000"/>
          <w:kern w:val="0"/>
          <w:sz w:val="32"/>
          <w:szCs w:val="32"/>
        </w:rPr>
        <w:t>》，主要包括：</w:t>
      </w:r>
    </w:p>
    <w:p w14:paraId="746103FD">
      <w:pPr>
        <w:ind w:firstLine="640" w:firstLineChars="200"/>
        <w:rPr>
          <w:rFonts w:ascii="仿宋_GB2312" w:eastAsia="仿宋_GB2312"/>
          <w:sz w:val="32"/>
          <w:szCs w:val="32"/>
        </w:rPr>
      </w:pPr>
      <w:r>
        <w:rPr>
          <w:rFonts w:hint="eastAsia" w:ascii="仿宋_GB2312" w:eastAsia="仿宋_GB2312"/>
          <w:sz w:val="32"/>
          <w:szCs w:val="32"/>
        </w:rPr>
        <w:t>（一）招标备案手续</w:t>
      </w:r>
    </w:p>
    <w:p w14:paraId="5DF5A0B0">
      <w:pPr>
        <w:ind w:firstLine="640" w:firstLineChars="200"/>
        <w:rPr>
          <w:rFonts w:ascii="仿宋_GB2312" w:eastAsia="仿宋_GB2312"/>
          <w:sz w:val="32"/>
          <w:szCs w:val="32"/>
        </w:rPr>
      </w:pPr>
      <w:r>
        <w:rPr>
          <w:rFonts w:hint="eastAsia" w:ascii="仿宋_GB2312" w:eastAsia="仿宋_GB2312"/>
          <w:sz w:val="32"/>
          <w:szCs w:val="32"/>
        </w:rPr>
        <w:t>1、项目建议任务书；　　　</w:t>
      </w:r>
    </w:p>
    <w:p w14:paraId="1256A1CF">
      <w:pPr>
        <w:ind w:firstLine="640" w:firstLineChars="200"/>
        <w:rPr>
          <w:rFonts w:ascii="仿宋_GB2312" w:eastAsia="仿宋_GB2312"/>
          <w:sz w:val="32"/>
          <w:szCs w:val="32"/>
        </w:rPr>
      </w:pPr>
      <w:r>
        <w:rPr>
          <w:rFonts w:hint="eastAsia" w:ascii="仿宋_GB2312" w:eastAsia="仿宋_GB2312"/>
          <w:sz w:val="32"/>
          <w:szCs w:val="32"/>
        </w:rPr>
        <w:t>2、建设用地规划许可证；</w:t>
      </w:r>
    </w:p>
    <w:p w14:paraId="1AAD1818">
      <w:pPr>
        <w:ind w:firstLine="640" w:firstLineChars="200"/>
        <w:rPr>
          <w:rFonts w:ascii="仿宋_GB2312" w:eastAsia="仿宋_GB2312"/>
          <w:sz w:val="32"/>
          <w:szCs w:val="32"/>
        </w:rPr>
      </w:pPr>
      <w:r>
        <w:rPr>
          <w:rFonts w:hint="eastAsia" w:ascii="仿宋_GB2312" w:eastAsia="仿宋_GB2312"/>
          <w:sz w:val="32"/>
          <w:szCs w:val="32"/>
        </w:rPr>
        <w:t>3、建设工程规划许可证；</w:t>
      </w:r>
    </w:p>
    <w:p w14:paraId="23CCEFF1">
      <w:pPr>
        <w:ind w:firstLine="640" w:firstLineChars="200"/>
        <w:rPr>
          <w:rFonts w:ascii="仿宋_GB2312" w:eastAsia="仿宋_GB2312"/>
          <w:sz w:val="32"/>
          <w:szCs w:val="32"/>
        </w:rPr>
      </w:pPr>
      <w:r>
        <w:rPr>
          <w:rFonts w:hint="eastAsia" w:ascii="仿宋_GB2312" w:eastAsia="仿宋_GB2312"/>
          <w:sz w:val="32"/>
          <w:szCs w:val="32"/>
        </w:rPr>
        <w:t>4、资金来源证明。</w:t>
      </w:r>
    </w:p>
    <w:p w14:paraId="55521398">
      <w:pPr>
        <w:ind w:firstLine="640" w:firstLineChars="200"/>
        <w:rPr>
          <w:rFonts w:ascii="仿宋_GB2312" w:eastAsia="仿宋_GB2312"/>
          <w:sz w:val="32"/>
          <w:szCs w:val="32"/>
        </w:rPr>
      </w:pPr>
      <w:r>
        <w:rPr>
          <w:rFonts w:hint="eastAsia" w:ascii="仿宋_GB2312" w:eastAsia="仿宋_GB2312"/>
          <w:sz w:val="32"/>
          <w:szCs w:val="32"/>
        </w:rPr>
        <w:t>（二）招标备案登记表；</w:t>
      </w:r>
    </w:p>
    <w:p w14:paraId="38DADF3B">
      <w:pPr>
        <w:ind w:firstLine="640" w:firstLineChars="200"/>
        <w:rPr>
          <w:rFonts w:ascii="仿宋_GB2312" w:eastAsia="仿宋_GB2312"/>
          <w:sz w:val="32"/>
          <w:szCs w:val="32"/>
        </w:rPr>
      </w:pPr>
      <w:r>
        <w:rPr>
          <w:rFonts w:hint="eastAsia" w:ascii="仿宋_GB2312" w:eastAsia="仿宋_GB2312"/>
          <w:sz w:val="32"/>
          <w:szCs w:val="32"/>
        </w:rPr>
        <w:t>（三）招标代理委托合同（原件副本）；</w:t>
      </w:r>
    </w:p>
    <w:p w14:paraId="04067C49">
      <w:pPr>
        <w:ind w:firstLine="640" w:firstLineChars="200"/>
        <w:rPr>
          <w:rFonts w:ascii="仿宋_GB2312" w:eastAsia="仿宋_GB2312"/>
          <w:sz w:val="32"/>
          <w:szCs w:val="32"/>
        </w:rPr>
      </w:pPr>
      <w:r>
        <w:rPr>
          <w:rFonts w:hint="eastAsia" w:ascii="仿宋_GB2312" w:eastAsia="仿宋_GB2312"/>
          <w:sz w:val="32"/>
          <w:szCs w:val="32"/>
        </w:rPr>
        <w:t>（四）招标方式核准单；</w:t>
      </w:r>
    </w:p>
    <w:p w14:paraId="2950BED2">
      <w:pPr>
        <w:ind w:firstLine="640" w:firstLineChars="200"/>
        <w:rPr>
          <w:rFonts w:ascii="仿宋_GB2312" w:eastAsia="仿宋_GB2312"/>
          <w:sz w:val="32"/>
          <w:szCs w:val="32"/>
        </w:rPr>
      </w:pPr>
      <w:r>
        <w:rPr>
          <w:rFonts w:hint="eastAsia" w:ascii="仿宋_GB2312" w:eastAsia="仿宋_GB2312"/>
          <w:sz w:val="32"/>
          <w:szCs w:val="32"/>
        </w:rPr>
        <w:t>（五）招标公告（沈阳建设工程信息网下载）；</w:t>
      </w:r>
    </w:p>
    <w:p w14:paraId="68E424CE">
      <w:pPr>
        <w:ind w:firstLine="640" w:firstLineChars="200"/>
        <w:rPr>
          <w:rFonts w:ascii="仿宋_GB2312" w:eastAsia="仿宋_GB2312"/>
          <w:sz w:val="32"/>
          <w:szCs w:val="32"/>
        </w:rPr>
      </w:pPr>
      <w:r>
        <w:rPr>
          <w:rFonts w:hint="eastAsia" w:ascii="仿宋_GB2312" w:eastAsia="仿宋_GB2312"/>
          <w:sz w:val="32"/>
          <w:szCs w:val="32"/>
        </w:rPr>
        <w:t>（六）资格预审资料</w:t>
      </w:r>
    </w:p>
    <w:p w14:paraId="23D40950">
      <w:pPr>
        <w:ind w:firstLine="640" w:firstLineChars="200"/>
        <w:rPr>
          <w:rFonts w:ascii="仿宋_GB2312" w:eastAsia="仿宋_GB2312"/>
          <w:sz w:val="32"/>
          <w:szCs w:val="32"/>
        </w:rPr>
      </w:pPr>
      <w:r>
        <w:rPr>
          <w:rFonts w:hint="eastAsia" w:ascii="仿宋_GB2312" w:eastAsia="仿宋_GB2312"/>
          <w:sz w:val="32"/>
          <w:szCs w:val="32"/>
        </w:rPr>
        <w:t>1、资格预审文件；</w:t>
      </w:r>
    </w:p>
    <w:p w14:paraId="7004C8F3">
      <w:pPr>
        <w:ind w:firstLine="640" w:firstLineChars="200"/>
        <w:rPr>
          <w:rFonts w:ascii="仿宋_GB2312" w:eastAsia="仿宋_GB2312"/>
          <w:sz w:val="32"/>
          <w:szCs w:val="32"/>
        </w:rPr>
      </w:pPr>
      <w:r>
        <w:rPr>
          <w:rFonts w:hint="eastAsia" w:ascii="仿宋_GB2312" w:eastAsia="仿宋_GB2312"/>
          <w:sz w:val="32"/>
          <w:szCs w:val="32"/>
        </w:rPr>
        <w:t>2、资格预审名单；</w:t>
      </w:r>
    </w:p>
    <w:p w14:paraId="16F3226F">
      <w:pPr>
        <w:ind w:firstLine="640" w:firstLineChars="200"/>
        <w:rPr>
          <w:rFonts w:ascii="仿宋_GB2312" w:eastAsia="仿宋_GB2312"/>
          <w:sz w:val="32"/>
          <w:szCs w:val="32"/>
        </w:rPr>
      </w:pPr>
      <w:r>
        <w:rPr>
          <w:rFonts w:hint="eastAsia" w:ascii="仿宋_GB2312" w:eastAsia="仿宋_GB2312"/>
          <w:sz w:val="32"/>
          <w:szCs w:val="32"/>
        </w:rPr>
        <w:t>3、资格预审报告。</w:t>
      </w:r>
    </w:p>
    <w:p w14:paraId="04A86571">
      <w:pPr>
        <w:ind w:firstLine="640" w:firstLineChars="200"/>
        <w:rPr>
          <w:rFonts w:ascii="仿宋_GB2312" w:eastAsia="仿宋_GB2312"/>
          <w:sz w:val="32"/>
          <w:szCs w:val="32"/>
        </w:rPr>
      </w:pPr>
      <w:r>
        <w:rPr>
          <w:rFonts w:hint="eastAsia" w:ascii="仿宋_GB2312" w:eastAsia="仿宋_GB2312"/>
          <w:sz w:val="32"/>
          <w:szCs w:val="32"/>
        </w:rPr>
        <w:t>（七）招标文件（含评标办法、工程量清单）；</w:t>
      </w:r>
    </w:p>
    <w:p w14:paraId="10E0C9B7">
      <w:pPr>
        <w:ind w:firstLine="640" w:firstLineChars="200"/>
        <w:rPr>
          <w:rFonts w:ascii="仿宋_GB2312" w:eastAsia="仿宋_GB2312"/>
          <w:sz w:val="32"/>
          <w:szCs w:val="32"/>
        </w:rPr>
      </w:pPr>
      <w:r>
        <w:rPr>
          <w:rFonts w:hint="eastAsia" w:ascii="仿宋_GB2312" w:eastAsia="仿宋_GB2312"/>
          <w:sz w:val="32"/>
          <w:szCs w:val="32"/>
        </w:rPr>
        <w:t>（八）招标工作资料</w:t>
      </w:r>
    </w:p>
    <w:p w14:paraId="1510821A">
      <w:pPr>
        <w:ind w:firstLine="640" w:firstLineChars="200"/>
        <w:rPr>
          <w:rFonts w:ascii="仿宋_GB2312" w:eastAsia="仿宋_GB2312"/>
          <w:sz w:val="32"/>
          <w:szCs w:val="32"/>
        </w:rPr>
      </w:pPr>
      <w:r>
        <w:rPr>
          <w:rFonts w:hint="eastAsia" w:ascii="仿宋_GB2312" w:eastAsia="仿宋_GB2312"/>
          <w:sz w:val="32"/>
          <w:szCs w:val="32"/>
        </w:rPr>
        <w:t>1、招标公告；</w:t>
      </w:r>
    </w:p>
    <w:p w14:paraId="726D145F">
      <w:pPr>
        <w:ind w:firstLine="640" w:firstLineChars="200"/>
        <w:rPr>
          <w:rFonts w:ascii="仿宋_GB2312" w:eastAsia="仿宋_GB2312"/>
          <w:sz w:val="32"/>
          <w:szCs w:val="32"/>
        </w:rPr>
      </w:pPr>
      <w:r>
        <w:rPr>
          <w:rFonts w:hint="eastAsia" w:ascii="仿宋_GB2312" w:eastAsia="仿宋_GB2312"/>
          <w:sz w:val="32"/>
          <w:szCs w:val="32"/>
        </w:rPr>
        <w:t>2、投标报名登记表；</w:t>
      </w:r>
    </w:p>
    <w:p w14:paraId="23C19404">
      <w:pPr>
        <w:ind w:firstLine="640" w:firstLineChars="200"/>
        <w:rPr>
          <w:rFonts w:ascii="仿宋_GB2312" w:eastAsia="仿宋_GB2312"/>
          <w:sz w:val="32"/>
          <w:szCs w:val="32"/>
        </w:rPr>
      </w:pPr>
      <w:r>
        <w:rPr>
          <w:rFonts w:hint="eastAsia" w:ascii="仿宋_GB2312" w:eastAsia="仿宋_GB2312"/>
          <w:sz w:val="32"/>
          <w:szCs w:val="32"/>
        </w:rPr>
        <w:t>3、购买招标文件登记表；</w:t>
      </w:r>
    </w:p>
    <w:p w14:paraId="6B9BA772">
      <w:pPr>
        <w:ind w:firstLine="640" w:firstLineChars="200"/>
        <w:rPr>
          <w:rFonts w:ascii="仿宋_GB2312" w:eastAsia="仿宋_GB2312"/>
          <w:sz w:val="32"/>
          <w:szCs w:val="32"/>
        </w:rPr>
      </w:pPr>
      <w:r>
        <w:rPr>
          <w:rFonts w:hint="eastAsia" w:ascii="仿宋_GB2312" w:eastAsia="仿宋_GB2312"/>
          <w:sz w:val="32"/>
          <w:szCs w:val="32"/>
        </w:rPr>
        <w:t>4、开标记录表；</w:t>
      </w:r>
    </w:p>
    <w:p w14:paraId="10EEFE84">
      <w:pPr>
        <w:ind w:firstLine="640" w:firstLineChars="200"/>
        <w:rPr>
          <w:rFonts w:ascii="仿宋_GB2312" w:eastAsia="仿宋_GB2312"/>
          <w:sz w:val="32"/>
          <w:szCs w:val="32"/>
        </w:rPr>
      </w:pPr>
      <w:r>
        <w:rPr>
          <w:rFonts w:hint="eastAsia" w:ascii="仿宋_GB2312" w:eastAsia="仿宋_GB2312"/>
          <w:sz w:val="32"/>
          <w:szCs w:val="32"/>
        </w:rPr>
        <w:t>5、招标工作方案（若有）；</w:t>
      </w:r>
    </w:p>
    <w:p w14:paraId="27C1A8BE">
      <w:pPr>
        <w:ind w:firstLine="640" w:firstLineChars="200"/>
        <w:rPr>
          <w:rFonts w:ascii="仿宋_GB2312" w:eastAsia="仿宋_GB2312"/>
          <w:sz w:val="32"/>
          <w:szCs w:val="32"/>
        </w:rPr>
      </w:pPr>
      <w:r>
        <w:rPr>
          <w:rFonts w:hint="eastAsia" w:ascii="仿宋_GB2312" w:eastAsia="仿宋_GB2312"/>
          <w:sz w:val="32"/>
          <w:szCs w:val="32"/>
        </w:rPr>
        <w:t>6、补充招标文件；</w:t>
      </w:r>
    </w:p>
    <w:p w14:paraId="7444A4E6">
      <w:pPr>
        <w:ind w:firstLine="640" w:firstLineChars="200"/>
        <w:rPr>
          <w:rFonts w:ascii="仿宋_GB2312" w:eastAsia="仿宋_GB2312"/>
          <w:sz w:val="32"/>
          <w:szCs w:val="32"/>
        </w:rPr>
      </w:pPr>
      <w:r>
        <w:rPr>
          <w:rFonts w:hint="eastAsia" w:ascii="仿宋_GB2312" w:eastAsia="仿宋_GB2312"/>
          <w:sz w:val="32"/>
          <w:szCs w:val="32"/>
        </w:rPr>
        <w:t>7、评标标准和办法；</w:t>
      </w:r>
    </w:p>
    <w:p w14:paraId="42EB4E1E">
      <w:pPr>
        <w:ind w:firstLine="640" w:firstLineChars="200"/>
        <w:rPr>
          <w:rFonts w:ascii="仿宋_GB2312" w:eastAsia="仿宋_GB2312"/>
          <w:sz w:val="32"/>
          <w:szCs w:val="32"/>
        </w:rPr>
      </w:pPr>
      <w:r>
        <w:rPr>
          <w:rFonts w:hint="eastAsia" w:ascii="仿宋_GB2312" w:eastAsia="仿宋_GB2312"/>
          <w:sz w:val="32"/>
          <w:szCs w:val="32"/>
        </w:rPr>
        <w:t>8、评标专家抽取表；</w:t>
      </w:r>
    </w:p>
    <w:p w14:paraId="6EA84C8A">
      <w:pPr>
        <w:ind w:firstLine="640" w:firstLineChars="200"/>
        <w:rPr>
          <w:rFonts w:ascii="仿宋_GB2312" w:eastAsia="仿宋_GB2312"/>
          <w:sz w:val="32"/>
          <w:szCs w:val="32"/>
        </w:rPr>
      </w:pPr>
      <w:r>
        <w:rPr>
          <w:rFonts w:hint="eastAsia" w:ascii="仿宋_GB2312" w:eastAsia="仿宋_GB2312"/>
          <w:sz w:val="32"/>
          <w:szCs w:val="32"/>
        </w:rPr>
        <w:t>9、工程量清标报告；</w:t>
      </w:r>
    </w:p>
    <w:p w14:paraId="158FF2DA">
      <w:pPr>
        <w:ind w:firstLine="640" w:firstLineChars="200"/>
        <w:rPr>
          <w:rFonts w:ascii="仿宋_GB2312" w:eastAsia="仿宋_GB2312"/>
          <w:sz w:val="32"/>
          <w:szCs w:val="32"/>
        </w:rPr>
      </w:pPr>
      <w:r>
        <w:rPr>
          <w:rFonts w:hint="eastAsia" w:ascii="仿宋_GB2312" w:eastAsia="仿宋_GB2312"/>
          <w:sz w:val="32"/>
          <w:szCs w:val="32"/>
        </w:rPr>
        <w:t>10、评标专家的评审意见及汇总表；</w:t>
      </w:r>
    </w:p>
    <w:p w14:paraId="07722486">
      <w:pPr>
        <w:ind w:firstLine="640" w:firstLineChars="200"/>
        <w:rPr>
          <w:rFonts w:ascii="仿宋_GB2312" w:eastAsia="仿宋_GB2312"/>
          <w:sz w:val="32"/>
          <w:szCs w:val="32"/>
        </w:rPr>
      </w:pPr>
      <w:r>
        <w:rPr>
          <w:rFonts w:hint="eastAsia" w:ascii="仿宋_GB2312" w:eastAsia="仿宋_GB2312"/>
          <w:sz w:val="32"/>
          <w:szCs w:val="32"/>
        </w:rPr>
        <w:t>11、评标委员会做出的评、定标报告；</w:t>
      </w:r>
    </w:p>
    <w:p w14:paraId="35F88874">
      <w:pPr>
        <w:ind w:firstLine="640" w:firstLineChars="200"/>
        <w:rPr>
          <w:rFonts w:ascii="仿宋_GB2312" w:eastAsia="仿宋_GB2312"/>
          <w:sz w:val="32"/>
          <w:szCs w:val="32"/>
        </w:rPr>
      </w:pPr>
      <w:r>
        <w:rPr>
          <w:rFonts w:hint="eastAsia" w:ascii="仿宋_GB2312" w:eastAsia="仿宋_GB2312"/>
          <w:sz w:val="32"/>
          <w:szCs w:val="32"/>
        </w:rPr>
        <w:t>12、中标公示；</w:t>
      </w:r>
    </w:p>
    <w:p w14:paraId="2EAFE896">
      <w:pPr>
        <w:ind w:firstLine="640" w:firstLineChars="200"/>
        <w:rPr>
          <w:rFonts w:ascii="仿宋_GB2312" w:eastAsia="仿宋_GB2312"/>
          <w:sz w:val="32"/>
          <w:szCs w:val="32"/>
        </w:rPr>
      </w:pPr>
      <w:r>
        <w:rPr>
          <w:rFonts w:hint="eastAsia" w:ascii="仿宋_GB2312" w:eastAsia="仿宋_GB2312"/>
          <w:sz w:val="32"/>
          <w:szCs w:val="32"/>
        </w:rPr>
        <w:t>13、中标通知书；</w:t>
      </w:r>
    </w:p>
    <w:p w14:paraId="2E505541">
      <w:pPr>
        <w:ind w:firstLine="640" w:firstLineChars="200"/>
        <w:rPr>
          <w:rFonts w:ascii="仿宋_GB2312" w:eastAsia="仿宋_GB2312"/>
          <w:sz w:val="32"/>
          <w:szCs w:val="32"/>
        </w:rPr>
      </w:pPr>
      <w:r>
        <w:rPr>
          <w:rFonts w:hint="eastAsia" w:ascii="仿宋_GB2312" w:eastAsia="仿宋_GB2312"/>
          <w:sz w:val="32"/>
          <w:szCs w:val="32"/>
        </w:rPr>
        <w:t>对于重新组织招标或重新组织评标的建设项目，在提供上述资料的基础上，另增加如下资料：</w:t>
      </w:r>
    </w:p>
    <w:p w14:paraId="68200A22">
      <w:pPr>
        <w:ind w:firstLine="640" w:firstLineChars="200"/>
        <w:rPr>
          <w:rFonts w:ascii="仿宋_GB2312" w:eastAsia="仿宋_GB2312"/>
          <w:sz w:val="32"/>
          <w:szCs w:val="32"/>
        </w:rPr>
      </w:pPr>
      <w:r>
        <w:rPr>
          <w:rFonts w:hint="eastAsia" w:ascii="仿宋_GB2312" w:eastAsia="仿宋_GB2312"/>
          <w:sz w:val="32"/>
          <w:szCs w:val="32"/>
        </w:rPr>
        <w:t>1、重新组织招标或重新组织评标的原因及情况说明；</w:t>
      </w:r>
    </w:p>
    <w:p w14:paraId="71530890">
      <w:pPr>
        <w:ind w:firstLine="640" w:firstLineChars="200"/>
        <w:rPr>
          <w:rFonts w:ascii="仿宋_GB2312" w:eastAsia="仿宋_GB2312"/>
          <w:sz w:val="32"/>
          <w:szCs w:val="32"/>
        </w:rPr>
      </w:pPr>
      <w:r>
        <w:rPr>
          <w:rFonts w:hint="eastAsia" w:ascii="仿宋_GB2312" w:eastAsia="仿宋_GB2312"/>
          <w:sz w:val="32"/>
          <w:szCs w:val="32"/>
        </w:rPr>
        <w:t>2、管理机关做出重新组织招标或重新组织评标的决定书；</w:t>
      </w:r>
    </w:p>
    <w:p w14:paraId="2F97F667">
      <w:pPr>
        <w:ind w:firstLine="640" w:firstLineChars="200"/>
        <w:rPr>
          <w:rFonts w:ascii="仿宋_GB2312" w:eastAsia="仿宋_GB2312"/>
          <w:sz w:val="32"/>
          <w:szCs w:val="32"/>
        </w:rPr>
      </w:pPr>
      <w:r>
        <w:rPr>
          <w:rFonts w:hint="eastAsia" w:ascii="仿宋_GB2312" w:eastAsia="仿宋_GB2312"/>
          <w:sz w:val="32"/>
          <w:szCs w:val="32"/>
        </w:rPr>
        <w:t>3、重新组织招标或重新组织评标所采取的相应措施。</w:t>
      </w:r>
    </w:p>
    <w:p w14:paraId="19F7482D">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3BA0B708">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依法必须进行招标的项目，招标人应当自</w:t>
      </w:r>
      <w:r>
        <w:rPr>
          <w:rFonts w:hint="eastAsia" w:ascii="仿宋_GB2312" w:hAnsi="ˎ̥" w:eastAsia="仿宋_GB2312" w:cs="宋体"/>
          <w:color w:val="000000"/>
          <w:kern w:val="0"/>
          <w:sz w:val="32"/>
          <w:szCs w:val="32"/>
        </w:rPr>
        <w:t>确定中标人</w:t>
      </w:r>
      <w:r>
        <w:rPr>
          <w:rFonts w:ascii="仿宋_GB2312" w:hAnsi="ˎ̥" w:eastAsia="仿宋_GB2312" w:cs="宋体"/>
          <w:color w:val="000000"/>
          <w:kern w:val="0"/>
          <w:sz w:val="32"/>
          <w:szCs w:val="32"/>
        </w:rPr>
        <w:t>之日起十五日内，向</w:t>
      </w: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提交招标投标情况的书面报告</w:t>
      </w:r>
      <w:r>
        <w:rPr>
          <w:rFonts w:hint="eastAsia" w:ascii="仿宋_GB2312" w:hAnsi="ˎ̥" w:eastAsia="仿宋_GB2312" w:cs="宋体"/>
          <w:color w:val="000000"/>
          <w:kern w:val="0"/>
          <w:sz w:val="32"/>
          <w:szCs w:val="32"/>
        </w:rPr>
        <w:t>；</w:t>
      </w:r>
    </w:p>
    <w:p w14:paraId="2395A6F7">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2、招标部自收到书面报告之日起5日内未通知招标人在招标投标活动中有违法行为的，招标人可以向中标人发出中标通知书，并将中标结果通知所有未中标的投标人。</w:t>
      </w:r>
    </w:p>
    <w:p w14:paraId="6D970CC7">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0F8F1E07">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确定中标人必须以评标委员会出具的评标报告为依据，严格按照法定的程序，在规定的时间内完成，并向中标人发出中标通知书。对于拖延确定中标人、随意更换中标人、向中标人提出额外要求甚至无正当理由拒不与中标人签署合同的招标人，</w:t>
      </w: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依法予以处理。</w:t>
      </w:r>
    </w:p>
    <w:p w14:paraId="4ABE607E">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招标人不按规定期限确定中标人的，或者中标通知书发出后，改变中标结果的，无正当理由不与中标人签订合同的，或者在签订合同时向中标人提出附加条件或者更改合同实质性内容的，</w:t>
      </w:r>
      <w:r>
        <w:rPr>
          <w:rFonts w:hint="eastAsia" w:ascii="仿宋_GB2312" w:hAnsi="ˎ̥" w:eastAsia="仿宋_GB2312" w:cs="宋体"/>
          <w:color w:val="000000"/>
          <w:kern w:val="0"/>
          <w:sz w:val="32"/>
          <w:szCs w:val="32"/>
        </w:rPr>
        <w:t>招标部应</w:t>
      </w:r>
      <w:r>
        <w:rPr>
          <w:rFonts w:ascii="仿宋_GB2312" w:hAnsi="ˎ̥" w:eastAsia="仿宋_GB2312" w:cs="宋体"/>
          <w:color w:val="000000"/>
          <w:kern w:val="0"/>
          <w:sz w:val="32"/>
          <w:szCs w:val="32"/>
        </w:rPr>
        <w:t>给予警告，责令改正，根据情节可处三万元以下的罚款；造成中标人损失的，并应当赔偿损失。</w:t>
      </w:r>
    </w:p>
    <w:p w14:paraId="08FCC749">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370660F1">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事中、事后监管事项</w:t>
      </w:r>
    </w:p>
    <w:p w14:paraId="732930EC">
      <w:pPr>
        <w:widowControl/>
        <w:ind w:firstLine="640" w:firstLineChars="200"/>
        <w:rPr>
          <w:rFonts w:hint="eastAsia" w:ascii="仿宋_GB2312" w:hAnsi="ˎ̥" w:eastAsia="仿宋_GB2312" w:cs="宋体"/>
          <w:color w:val="000000"/>
          <w:kern w:val="0"/>
          <w:sz w:val="32"/>
          <w:szCs w:val="32"/>
        </w:rPr>
      </w:pPr>
    </w:p>
    <w:p w14:paraId="42337F4C">
      <w:pPr>
        <w:widowControl/>
        <w:ind w:firstLine="640" w:firstLineChars="200"/>
        <w:rPr>
          <w:rFonts w:hint="eastAsia" w:ascii="仿宋_GB2312" w:hAnsi="ˎ̥" w:eastAsia="仿宋_GB2312" w:cs="宋体"/>
          <w:color w:val="000000"/>
          <w:kern w:val="0"/>
          <w:sz w:val="32"/>
          <w:szCs w:val="32"/>
        </w:rPr>
      </w:pPr>
    </w:p>
    <w:p w14:paraId="47B8D7E5">
      <w:pPr>
        <w:widowControl/>
        <w:ind w:firstLine="640" w:firstLineChars="200"/>
        <w:rPr>
          <w:rFonts w:hint="eastAsia" w:ascii="仿宋_GB2312" w:hAnsi="ˎ̥" w:eastAsia="仿宋_GB2312" w:cs="宋体"/>
          <w:color w:val="000000"/>
          <w:kern w:val="0"/>
          <w:sz w:val="32"/>
          <w:szCs w:val="32"/>
        </w:rPr>
      </w:pPr>
    </w:p>
    <w:p w14:paraId="48959CD0">
      <w:pPr>
        <w:widowControl/>
        <w:ind w:firstLine="640" w:firstLineChars="200"/>
        <w:rPr>
          <w:rFonts w:hint="eastAsia" w:ascii="仿宋_GB2312" w:hAnsi="ˎ̥" w:eastAsia="仿宋_GB2312" w:cs="宋体"/>
          <w:color w:val="000000"/>
          <w:kern w:val="0"/>
          <w:sz w:val="32"/>
          <w:szCs w:val="32"/>
        </w:rPr>
      </w:pPr>
    </w:p>
    <w:p w14:paraId="2134B681">
      <w:pPr>
        <w:widowControl/>
        <w:ind w:firstLine="640" w:firstLineChars="200"/>
        <w:rPr>
          <w:rFonts w:hint="eastAsia" w:ascii="仿宋_GB2312" w:hAnsi="ˎ̥" w:eastAsia="仿宋_GB2312" w:cs="宋体"/>
          <w:color w:val="000000"/>
          <w:kern w:val="0"/>
          <w:sz w:val="32"/>
          <w:szCs w:val="32"/>
        </w:rPr>
      </w:pPr>
    </w:p>
    <w:p w14:paraId="11ECD00F">
      <w:pPr>
        <w:widowControl/>
        <w:ind w:firstLine="640" w:firstLineChars="200"/>
        <w:rPr>
          <w:rFonts w:hint="eastAsia" w:ascii="仿宋_GB2312" w:hAnsi="ˎ̥" w:eastAsia="仿宋_GB2312" w:cs="宋体"/>
          <w:color w:val="000000"/>
          <w:kern w:val="0"/>
          <w:sz w:val="32"/>
          <w:szCs w:val="32"/>
        </w:rPr>
      </w:pPr>
    </w:p>
    <w:p w14:paraId="11A3C806">
      <w:pPr>
        <w:widowControl/>
        <w:ind w:firstLine="640" w:firstLineChars="200"/>
        <w:rPr>
          <w:rFonts w:hint="eastAsia" w:ascii="仿宋_GB2312" w:hAnsi="ˎ̥" w:eastAsia="仿宋_GB2312" w:cs="宋体"/>
          <w:color w:val="000000"/>
          <w:kern w:val="0"/>
          <w:sz w:val="32"/>
          <w:szCs w:val="32"/>
        </w:rPr>
      </w:pPr>
    </w:p>
    <w:p w14:paraId="399C91C3">
      <w:pPr>
        <w:widowControl/>
        <w:ind w:firstLine="640" w:firstLineChars="200"/>
        <w:rPr>
          <w:rFonts w:hint="eastAsia" w:ascii="仿宋_GB2312" w:hAnsi="ˎ̥" w:eastAsia="仿宋_GB2312" w:cs="宋体"/>
          <w:color w:val="000000"/>
          <w:kern w:val="0"/>
          <w:sz w:val="32"/>
          <w:szCs w:val="32"/>
        </w:rPr>
      </w:pPr>
    </w:p>
    <w:p w14:paraId="1206D6A2">
      <w:pPr>
        <w:widowControl/>
        <w:ind w:firstLine="640" w:firstLineChars="200"/>
        <w:rPr>
          <w:rFonts w:hint="eastAsia" w:ascii="仿宋_GB2312" w:hAnsi="ˎ̥" w:eastAsia="仿宋_GB2312" w:cs="宋体"/>
          <w:color w:val="000000"/>
          <w:kern w:val="0"/>
          <w:sz w:val="32"/>
          <w:szCs w:val="32"/>
        </w:rPr>
      </w:pPr>
    </w:p>
    <w:p w14:paraId="42D3FB1C">
      <w:pPr>
        <w:widowControl/>
        <w:ind w:firstLine="640" w:firstLineChars="200"/>
        <w:rPr>
          <w:rFonts w:hint="eastAsia" w:ascii="仿宋_GB2312" w:hAnsi="ˎ̥" w:eastAsia="仿宋_GB2312" w:cs="宋体"/>
          <w:color w:val="000000"/>
          <w:kern w:val="0"/>
          <w:sz w:val="32"/>
          <w:szCs w:val="32"/>
        </w:rPr>
      </w:pPr>
    </w:p>
    <w:p w14:paraId="4D354866">
      <w:pPr>
        <w:widowControl/>
        <w:ind w:firstLine="640" w:firstLineChars="200"/>
        <w:rPr>
          <w:rFonts w:hint="eastAsia" w:ascii="仿宋_GB2312" w:hAnsi="ˎ̥" w:eastAsia="仿宋_GB2312" w:cs="宋体"/>
          <w:color w:val="000000"/>
          <w:kern w:val="0"/>
          <w:sz w:val="32"/>
          <w:szCs w:val="32"/>
        </w:rPr>
      </w:pPr>
    </w:p>
    <w:p w14:paraId="7C94915A">
      <w:pPr>
        <w:widowControl/>
        <w:ind w:firstLine="640" w:firstLineChars="200"/>
        <w:rPr>
          <w:rFonts w:hint="eastAsia" w:ascii="仿宋_GB2312" w:hAnsi="ˎ̥" w:eastAsia="仿宋_GB2312" w:cs="宋体"/>
          <w:color w:val="000000"/>
          <w:kern w:val="0"/>
          <w:sz w:val="32"/>
          <w:szCs w:val="32"/>
        </w:rPr>
      </w:pPr>
    </w:p>
    <w:p w14:paraId="0F0C2FD7">
      <w:pPr>
        <w:widowControl/>
        <w:ind w:firstLine="640" w:firstLineChars="200"/>
        <w:rPr>
          <w:rFonts w:hint="eastAsia" w:ascii="仿宋_GB2312" w:hAnsi="ˎ̥" w:eastAsia="仿宋_GB2312" w:cs="宋体"/>
          <w:color w:val="000000"/>
          <w:kern w:val="0"/>
          <w:sz w:val="32"/>
          <w:szCs w:val="32"/>
        </w:rPr>
      </w:pPr>
    </w:p>
    <w:p w14:paraId="757A65A3">
      <w:pPr>
        <w:widowControl/>
        <w:rPr>
          <w:rFonts w:hint="eastAsia" w:ascii="仿宋_GB2312" w:hAnsi="ˎ̥" w:eastAsia="仿宋_GB2312" w:cs="宋体"/>
          <w:color w:val="000000"/>
          <w:kern w:val="0"/>
          <w:sz w:val="32"/>
          <w:szCs w:val="32"/>
        </w:rPr>
      </w:pPr>
    </w:p>
    <w:p w14:paraId="0DC67A6A">
      <w:pPr>
        <w:pStyle w:val="2"/>
        <w:jc w:val="center"/>
      </w:pPr>
      <w:bookmarkStart w:id="12" w:name="_Toc22376"/>
      <w:r>
        <w:rPr>
          <w:rFonts w:hint="eastAsia"/>
        </w:rPr>
        <w:t>投诉处理工作制度</w:t>
      </w:r>
      <w:bookmarkEnd w:id="12"/>
    </w:p>
    <w:p w14:paraId="24CF1248">
      <w:pPr>
        <w:widowControl/>
        <w:ind w:firstLine="640" w:firstLineChars="200"/>
        <w:rPr>
          <w:rFonts w:hint="eastAsia" w:ascii="仿宋_GB2312" w:hAnsi="ˎ̥" w:eastAsia="仿宋_GB2312" w:cs="宋体"/>
          <w:color w:val="000000"/>
          <w:kern w:val="0"/>
          <w:sz w:val="32"/>
          <w:szCs w:val="32"/>
        </w:rPr>
      </w:pPr>
    </w:p>
    <w:p w14:paraId="4E9D60D1">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1A3E8113">
      <w:pPr>
        <w:widowControl/>
        <w:ind w:firstLine="627" w:firstLineChars="196"/>
        <w:rPr>
          <w:rFonts w:hint="eastAsia" w:ascii="仿宋_GB2312" w:hAnsi="ˎ̥" w:eastAsia="仿宋_GB2312" w:cs="宋体"/>
          <w:color w:val="000000"/>
          <w:kern w:val="0"/>
          <w:sz w:val="32"/>
          <w:szCs w:val="32"/>
        </w:rPr>
      </w:pPr>
      <w:r>
        <w:rPr>
          <w:rFonts w:ascii="仿宋_GB2312" w:hAnsi="ˎ̥" w:eastAsia="仿宋_GB2312" w:cs="宋体"/>
          <w:color w:val="000000"/>
          <w:kern w:val="0"/>
          <w:sz w:val="32"/>
          <w:szCs w:val="32"/>
        </w:rPr>
        <w:t>投诉人投诉时应当提交书面投诉书。投诉书应当包括下列内容：投诉人的名称、地址及有效联系方式；被投诉人的名称、地址及有效联系方式；投诉事项的基本事实；投诉的相关请求和主张；有效线索和相关证明材料。</w:t>
      </w:r>
    </w:p>
    <w:p w14:paraId="7528310E">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05879531">
      <w:pPr>
        <w:spacing w:line="56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（一）行政监督部门收到投诉书后，应当在三个工作日内进行审查，视情况分别做出以下处理决定。</w:t>
      </w:r>
    </w:p>
    <w:p w14:paraId="16768037">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1、不符合投诉处理条件的，决定不予受理，并将不予受理的理由书面告知投诉人；</w:t>
      </w:r>
    </w:p>
    <w:p w14:paraId="25B536AD">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2、对符合投诉处理条件，但不属于本部门受理的投诉，书面告知投诉人向其他行政监督部门提出投诉；</w:t>
      </w:r>
    </w:p>
    <w:p w14:paraId="129D2AAC">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对于符合投诉处理条件并决定受理的，收到投诉书之日即为正式受理。</w:t>
      </w:r>
    </w:p>
    <w:p w14:paraId="01E468C9">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（二）有下列情形之一的投诉，不予受理；</w:t>
      </w:r>
    </w:p>
    <w:p w14:paraId="61C00731">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1、投诉人不是所投诉招标投标活动的参与者，或者与投诉项目无任何利害关系；</w:t>
      </w:r>
    </w:p>
    <w:p w14:paraId="0432F6B4">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2、投诉事项不具体，且未提供有效线索，难以查证的；</w:t>
      </w:r>
    </w:p>
    <w:p w14:paraId="0F9EC083">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3、投诉书未署具投诉人真实姓名、签字和有效联系方式的；以法人名义投诉的，投诉书未经法定代表人签字并加盖公章的；</w:t>
      </w:r>
    </w:p>
    <w:p w14:paraId="4BE35A2A">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4、超过投诉时效的；</w:t>
      </w:r>
    </w:p>
    <w:p w14:paraId="7A6ED8CD">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5、已经作出处理决定，并且投诉人没有提出新的证据；</w:t>
      </w:r>
    </w:p>
    <w:p w14:paraId="0B513147">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6、投诉事项应先提出异议没有提出异议、已进入行政复议或行政诉讼程序的。</w:t>
      </w:r>
    </w:p>
    <w:p w14:paraId="2A382965">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（三）行政监督部门受理投诉后，应当调取、查阅有关文件，调查、核实有关情况。</w:t>
      </w:r>
    </w:p>
    <w:p w14:paraId="444E18D3">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对情况复杂、涉及面广的重大投诉事项，有权受理投诉的行政监督部门可以会同其他有关的行政监督部门进行联合调查，共同研究后由受理部门做出处理决定。</w:t>
      </w:r>
    </w:p>
    <w:p w14:paraId="7DD0DF1F">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三、管理（处罚）措施</w:t>
      </w:r>
    </w:p>
    <w:p w14:paraId="5DA8816D">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招标代理泄露应当保密的与招标投标活动有关的情况和资料的，或者与招标人、投标人串通损害国家利益、社会公共利益或者他人合法权益的，处五万元以上二十五万元以下的罚款，情节严重的，暂停直至取消招标代理资格；影响中标结果的，中标无效。</w:t>
      </w:r>
    </w:p>
    <w:p w14:paraId="115C8E76">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招标人向他人透露已获取招标文件的潜在投标人的名称、数量或者可能影响公平竞争的有关招标投标的其他情况的，或者泄露标底的，给予警告，可以并处一万元以上十万元以下的罚款；影响中标结果的，中标无效。</w:t>
      </w:r>
    </w:p>
    <w:p w14:paraId="2D7FB6B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投标人相互串通投标或者与招标人串通投标的，投标人以向招标人或者评标委员会成员行贿的手段谋取中标的，中标无效，处中标项目金额千分之五以上千分之十以下的罚款，情节严重的，取消其一年至二年内参加依法必须进行招标的项目的投标资格并予以公告，直至由工商行政管理机关吊销营业执照；</w:t>
      </w:r>
    </w:p>
    <w:p w14:paraId="34A21DD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投标人以他人名义投标或者以其他方式弄虚作假，骗取中标的，中标无效，处中标项目金额千分之五以上千分之十以下的罚款，情节严重的，取消其一年至三年内参加依法必须进行招标的项目的投标资格并予以公告，直至由工商行政管理机关吊销营业执照</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t>给招标人造成损失的，依法承担赔偿责任；</w:t>
      </w:r>
    </w:p>
    <w:p w14:paraId="1390BA52">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5、</w:t>
      </w:r>
      <w:r>
        <w:rPr>
          <w:rFonts w:ascii="仿宋_GB2312" w:hAnsi="ˎ̥" w:eastAsia="仿宋_GB2312" w:cs="宋体"/>
          <w:color w:val="000000"/>
          <w:kern w:val="0"/>
          <w:sz w:val="32"/>
          <w:szCs w:val="32"/>
        </w:rPr>
        <w:t xml:space="preserve">依法必须进行招标的项目，招标人违反本法规定，与投标人就投标价格、投标方案等实质性内容进行谈判的，给予警告，对单位直接负责的主管人员和其他直接责任人员依法给予处分。 </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影响中标结果的，中标无效。</w:t>
      </w:r>
    </w:p>
    <w:p w14:paraId="516DA4D0">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以上处罚事项由沈阳市建设行政执法局负责实施。</w:t>
      </w:r>
    </w:p>
    <w:p w14:paraId="6BF4EB52">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0BB1CD61">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事中、事后监管事项</w:t>
      </w:r>
    </w:p>
    <w:p w14:paraId="5CFC58E7">
      <w:pPr>
        <w:widowControl/>
        <w:ind w:firstLine="640" w:firstLineChars="200"/>
        <w:rPr>
          <w:rFonts w:hint="eastAsia" w:ascii="仿宋_GB2312" w:hAnsi="ˎ̥" w:eastAsia="仿宋_GB2312" w:cs="宋体"/>
          <w:color w:val="000000"/>
          <w:kern w:val="0"/>
          <w:sz w:val="32"/>
          <w:szCs w:val="32"/>
        </w:rPr>
      </w:pPr>
    </w:p>
    <w:p w14:paraId="0B16DEF7">
      <w:pPr>
        <w:widowControl/>
        <w:ind w:firstLine="640" w:firstLineChars="200"/>
        <w:rPr>
          <w:rFonts w:hint="eastAsia" w:ascii="仿宋_GB2312" w:hAnsi="ˎ̥" w:eastAsia="仿宋_GB2312" w:cs="宋体"/>
          <w:color w:val="000000"/>
          <w:kern w:val="0"/>
          <w:sz w:val="32"/>
          <w:szCs w:val="32"/>
        </w:rPr>
      </w:pPr>
    </w:p>
    <w:p w14:paraId="6A8C72DC">
      <w:pPr>
        <w:widowControl/>
        <w:jc w:val="center"/>
        <w:rPr>
          <w:rFonts w:hint="eastAsia" w:ascii="黑体" w:hAnsi="ˎ̥" w:eastAsia="黑体" w:cs="宋体"/>
          <w:color w:val="000000"/>
          <w:kern w:val="0"/>
          <w:sz w:val="44"/>
          <w:szCs w:val="44"/>
        </w:rPr>
      </w:pPr>
    </w:p>
    <w:p w14:paraId="2EFACE4F">
      <w:pPr>
        <w:widowControl/>
        <w:jc w:val="center"/>
        <w:rPr>
          <w:rFonts w:hint="eastAsia" w:ascii="黑体" w:hAnsi="ˎ̥" w:eastAsia="黑体" w:cs="宋体"/>
          <w:color w:val="000000"/>
          <w:kern w:val="0"/>
          <w:sz w:val="44"/>
          <w:szCs w:val="44"/>
        </w:rPr>
      </w:pPr>
    </w:p>
    <w:p w14:paraId="3763ABD5">
      <w:pPr>
        <w:widowControl/>
        <w:jc w:val="center"/>
        <w:rPr>
          <w:rFonts w:hint="eastAsia" w:ascii="黑体" w:hAnsi="ˎ̥" w:eastAsia="黑体" w:cs="宋体"/>
          <w:color w:val="000000"/>
          <w:kern w:val="0"/>
          <w:sz w:val="44"/>
          <w:szCs w:val="44"/>
        </w:rPr>
      </w:pPr>
    </w:p>
    <w:p w14:paraId="6EB599F8">
      <w:pPr>
        <w:widowControl/>
        <w:jc w:val="center"/>
        <w:rPr>
          <w:rFonts w:hint="eastAsia" w:ascii="黑体" w:hAnsi="ˎ̥" w:eastAsia="黑体" w:cs="宋体"/>
          <w:color w:val="000000"/>
          <w:kern w:val="0"/>
          <w:sz w:val="44"/>
          <w:szCs w:val="44"/>
        </w:rPr>
      </w:pPr>
    </w:p>
    <w:p w14:paraId="02F4C20F">
      <w:pPr>
        <w:widowControl/>
        <w:jc w:val="center"/>
        <w:rPr>
          <w:rFonts w:hint="eastAsia" w:ascii="黑体" w:hAnsi="ˎ̥" w:eastAsia="黑体" w:cs="宋体"/>
          <w:color w:val="000000"/>
          <w:kern w:val="0"/>
          <w:sz w:val="44"/>
          <w:szCs w:val="44"/>
        </w:rPr>
      </w:pPr>
    </w:p>
    <w:p w14:paraId="74C148B9">
      <w:pPr>
        <w:widowControl/>
        <w:jc w:val="center"/>
        <w:rPr>
          <w:rFonts w:hint="eastAsia" w:ascii="黑体" w:hAnsi="ˎ̥" w:eastAsia="黑体" w:cs="宋体"/>
          <w:color w:val="000000"/>
          <w:kern w:val="0"/>
          <w:sz w:val="44"/>
          <w:szCs w:val="44"/>
        </w:rPr>
      </w:pPr>
    </w:p>
    <w:p w14:paraId="4BF63271">
      <w:pPr>
        <w:widowControl/>
        <w:jc w:val="center"/>
        <w:rPr>
          <w:rFonts w:hint="eastAsia" w:ascii="黑体" w:hAnsi="ˎ̥" w:eastAsia="黑体" w:cs="宋体"/>
          <w:color w:val="000000"/>
          <w:kern w:val="0"/>
          <w:sz w:val="44"/>
          <w:szCs w:val="44"/>
        </w:rPr>
      </w:pPr>
    </w:p>
    <w:p w14:paraId="0B0540FF">
      <w:pPr>
        <w:widowControl/>
        <w:jc w:val="center"/>
        <w:rPr>
          <w:rFonts w:hint="eastAsia" w:ascii="黑体" w:hAnsi="ˎ̥" w:eastAsia="黑体" w:cs="宋体"/>
          <w:color w:val="000000"/>
          <w:kern w:val="0"/>
          <w:sz w:val="44"/>
          <w:szCs w:val="44"/>
        </w:rPr>
      </w:pPr>
    </w:p>
    <w:p w14:paraId="51429A48">
      <w:pPr>
        <w:widowControl/>
        <w:jc w:val="center"/>
        <w:rPr>
          <w:rFonts w:hint="eastAsia" w:ascii="黑体" w:hAnsi="ˎ̥" w:eastAsia="黑体" w:cs="宋体"/>
          <w:color w:val="000000"/>
          <w:kern w:val="0"/>
          <w:sz w:val="44"/>
          <w:szCs w:val="44"/>
        </w:rPr>
      </w:pPr>
    </w:p>
    <w:p w14:paraId="771F899E">
      <w:pPr>
        <w:widowControl/>
        <w:jc w:val="center"/>
        <w:rPr>
          <w:rFonts w:hint="eastAsia" w:ascii="黑体" w:hAnsi="ˎ̥" w:eastAsia="黑体" w:cs="宋体"/>
          <w:color w:val="000000"/>
          <w:kern w:val="0"/>
          <w:sz w:val="44"/>
          <w:szCs w:val="44"/>
        </w:rPr>
      </w:pPr>
    </w:p>
    <w:p w14:paraId="3AA97A92">
      <w:pPr>
        <w:widowControl/>
        <w:jc w:val="center"/>
        <w:rPr>
          <w:rFonts w:hint="eastAsia" w:ascii="黑体" w:hAnsi="ˎ̥" w:eastAsia="黑体" w:cs="宋体"/>
          <w:color w:val="000000"/>
          <w:kern w:val="0"/>
          <w:sz w:val="44"/>
          <w:szCs w:val="44"/>
        </w:rPr>
      </w:pPr>
    </w:p>
    <w:p w14:paraId="36F7F125">
      <w:pPr>
        <w:widowControl/>
        <w:jc w:val="center"/>
        <w:rPr>
          <w:rFonts w:hint="eastAsia" w:ascii="黑体" w:hAnsi="ˎ̥" w:eastAsia="黑体" w:cs="宋体"/>
          <w:color w:val="000000"/>
          <w:kern w:val="0"/>
          <w:sz w:val="44"/>
          <w:szCs w:val="44"/>
        </w:rPr>
      </w:pPr>
    </w:p>
    <w:p w14:paraId="7C1B699B">
      <w:pPr>
        <w:pStyle w:val="2"/>
        <w:jc w:val="center"/>
      </w:pPr>
      <w:bookmarkStart w:id="13" w:name="_Toc22097"/>
      <w:r>
        <w:rPr>
          <w:rFonts w:hint="eastAsia"/>
        </w:rPr>
        <w:t>投标人信息库资料审核工作制度</w:t>
      </w:r>
      <w:bookmarkEnd w:id="13"/>
    </w:p>
    <w:p w14:paraId="3FC120E4">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14:paraId="2142810A">
      <w:pPr>
        <w:widowControl/>
        <w:spacing w:line="540" w:lineRule="exact"/>
        <w:ind w:firstLine="640" w:firstLineChars="200"/>
        <w:rPr>
          <w:rFonts w:hint="eastAsia" w:ascii="仿宋_GB2312" w:hAnsi="ˎ̥" w:eastAsia="仿宋_GB2312" w:cs="宋体"/>
          <w:color w:val="000000"/>
          <w:kern w:val="0"/>
          <w:sz w:val="32"/>
          <w:szCs w:val="32"/>
        </w:rPr>
      </w:pPr>
      <w:r>
        <w:rPr>
          <w:rFonts w:ascii="仿宋_GB2312" w:hAnsi="ˎ̥" w:eastAsia="仿宋_GB2312" w:cs="宋体"/>
          <w:color w:val="000000"/>
          <w:kern w:val="0"/>
          <w:sz w:val="32"/>
          <w:szCs w:val="32"/>
        </w:rPr>
        <w:t>投标人</w:t>
      </w:r>
      <w:r>
        <w:rPr>
          <w:rFonts w:hint="eastAsia" w:ascii="仿宋_GB2312" w:hAnsi="ˎ̥" w:eastAsia="仿宋_GB2312" w:cs="宋体"/>
          <w:color w:val="000000"/>
          <w:kern w:val="0"/>
          <w:sz w:val="32"/>
          <w:szCs w:val="32"/>
        </w:rPr>
        <w:t>参与电子化招投标须办理投标人信息</w:t>
      </w:r>
      <w:r>
        <w:rPr>
          <w:rFonts w:ascii="仿宋_GB2312" w:hAnsi="ˎ̥" w:eastAsia="仿宋_GB2312" w:cs="宋体"/>
          <w:color w:val="000000"/>
          <w:kern w:val="0"/>
          <w:sz w:val="32"/>
          <w:szCs w:val="32"/>
        </w:rPr>
        <w:t>入库</w:t>
      </w:r>
      <w:r>
        <w:rPr>
          <w:rFonts w:hint="eastAsia" w:ascii="仿宋_GB2312" w:hAnsi="ˎ̥" w:eastAsia="仿宋_GB2312" w:cs="宋体"/>
          <w:color w:val="000000"/>
          <w:kern w:val="0"/>
          <w:sz w:val="32"/>
          <w:szCs w:val="32"/>
        </w:rPr>
        <w:t>。入库</w:t>
      </w:r>
      <w:r>
        <w:rPr>
          <w:rFonts w:ascii="仿宋_GB2312" w:hAnsi="ˎ̥" w:eastAsia="仿宋_GB2312" w:cs="宋体"/>
          <w:color w:val="000000"/>
          <w:kern w:val="0"/>
          <w:sz w:val="32"/>
          <w:szCs w:val="32"/>
        </w:rPr>
        <w:t>信息主要包括企业基本信息、资质信息、安全生产信息、业绩证明信息、获奖信息、注册建造师信息、项目经理信息等方面，基本</w:t>
      </w:r>
      <w:r>
        <w:rPr>
          <w:rFonts w:hint="eastAsia" w:ascii="仿宋_GB2312" w:hAnsi="ˎ̥" w:eastAsia="仿宋_GB2312" w:cs="宋体"/>
          <w:color w:val="000000"/>
          <w:kern w:val="0"/>
          <w:sz w:val="32"/>
          <w:szCs w:val="32"/>
        </w:rPr>
        <w:t>要件</w:t>
      </w:r>
      <w:r>
        <w:rPr>
          <w:rFonts w:ascii="仿宋_GB2312" w:hAnsi="ˎ̥" w:eastAsia="仿宋_GB2312" w:cs="宋体"/>
          <w:color w:val="000000"/>
          <w:kern w:val="0"/>
          <w:sz w:val="32"/>
          <w:szCs w:val="32"/>
        </w:rPr>
        <w:t>要求如下：</w:t>
      </w:r>
    </w:p>
    <w:p w14:paraId="04D4CBBF">
      <w:pPr>
        <w:widowControl/>
        <w:spacing w:line="540" w:lineRule="exact"/>
        <w:ind w:firstLine="640" w:firstLineChars="200"/>
        <w:rPr>
          <w:rFonts w:hint="eastAsia" w:ascii="仿宋_GB2312" w:hAnsi="ˎ̥" w:eastAsia="仿宋_GB2312" w:cs="宋体"/>
          <w:color w:val="000000"/>
          <w:kern w:val="0"/>
          <w:sz w:val="32"/>
          <w:szCs w:val="32"/>
        </w:rPr>
      </w:pPr>
      <w:r>
        <w:rPr>
          <w:rFonts w:ascii="仿宋_GB2312" w:hAnsi="ˎ̥" w:eastAsia="仿宋_GB2312" w:cs="宋体"/>
          <w:color w:val="000000"/>
          <w:kern w:val="0"/>
          <w:sz w:val="32"/>
          <w:szCs w:val="32"/>
        </w:rPr>
        <w:t>1、《法人授权委托书》</w:t>
      </w:r>
      <w:r>
        <w:rPr>
          <w:rFonts w:hint="eastAsia" w:ascii="仿宋_GB2312" w:hAnsi="ˎ̥" w:eastAsia="仿宋_GB2312" w:cs="宋体"/>
          <w:color w:val="000000"/>
          <w:kern w:val="0"/>
          <w:sz w:val="32"/>
          <w:szCs w:val="32"/>
        </w:rPr>
        <w:t>；</w:t>
      </w:r>
    </w:p>
    <w:p w14:paraId="5F9ABC7B">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《诚信廉政承诺书》</w:t>
      </w:r>
      <w:r>
        <w:rPr>
          <w:rFonts w:hint="eastAsia" w:ascii="仿宋_GB2312" w:hAnsi="ˎ̥" w:eastAsia="仿宋_GB2312" w:cs="宋体"/>
          <w:color w:val="000000"/>
          <w:kern w:val="0"/>
          <w:sz w:val="32"/>
          <w:szCs w:val="32"/>
        </w:rPr>
        <w:t>；</w:t>
      </w:r>
    </w:p>
    <w:p w14:paraId="37B38F0A">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涉及到证书、证明的各类信息原件的</w:t>
      </w:r>
      <w:r>
        <w:rPr>
          <w:rFonts w:hint="eastAsia" w:ascii="仿宋_GB2312" w:hAnsi="ˎ̥" w:eastAsia="仿宋_GB2312" w:cs="宋体"/>
          <w:color w:val="000000"/>
          <w:kern w:val="0"/>
          <w:sz w:val="32"/>
          <w:szCs w:val="32"/>
        </w:rPr>
        <w:t>电子</w:t>
      </w:r>
      <w:r>
        <w:rPr>
          <w:rFonts w:ascii="仿宋_GB2312" w:hAnsi="ˎ̥" w:eastAsia="仿宋_GB2312" w:cs="宋体"/>
          <w:color w:val="000000"/>
          <w:kern w:val="0"/>
          <w:sz w:val="32"/>
          <w:szCs w:val="32"/>
        </w:rPr>
        <w:t>扫描件</w:t>
      </w:r>
      <w:r>
        <w:rPr>
          <w:rFonts w:hint="eastAsia" w:ascii="仿宋_GB2312" w:hAnsi="ˎ̥" w:eastAsia="仿宋_GB2312" w:cs="宋体"/>
          <w:color w:val="000000"/>
          <w:kern w:val="0"/>
          <w:sz w:val="32"/>
          <w:szCs w:val="32"/>
        </w:rPr>
        <w:t>1套；</w:t>
      </w:r>
    </w:p>
    <w:p w14:paraId="012B79C2">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、涉及到证书、证明的各类信息</w:t>
      </w:r>
      <w:r>
        <w:rPr>
          <w:rFonts w:hint="eastAsia" w:ascii="仿宋_GB2312" w:hAnsi="ˎ̥" w:eastAsia="仿宋_GB2312" w:cs="宋体"/>
          <w:color w:val="000000"/>
          <w:kern w:val="0"/>
          <w:sz w:val="32"/>
          <w:szCs w:val="32"/>
        </w:rPr>
        <w:t>的</w:t>
      </w:r>
      <w:r>
        <w:rPr>
          <w:rFonts w:ascii="仿宋_GB2312" w:hAnsi="ˎ̥" w:eastAsia="仿宋_GB2312" w:cs="宋体"/>
          <w:color w:val="000000"/>
          <w:kern w:val="0"/>
          <w:sz w:val="32"/>
          <w:szCs w:val="32"/>
        </w:rPr>
        <w:t>复印件</w:t>
      </w:r>
      <w:r>
        <w:rPr>
          <w:rFonts w:hint="eastAsia" w:ascii="仿宋_GB2312" w:hAnsi="ˎ̥" w:eastAsia="仿宋_GB2312" w:cs="宋体"/>
          <w:color w:val="000000"/>
          <w:kern w:val="0"/>
          <w:sz w:val="32"/>
          <w:szCs w:val="32"/>
        </w:rPr>
        <w:t>1套。</w:t>
      </w:r>
    </w:p>
    <w:p w14:paraId="2E5C660F">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14:paraId="75C99BE0">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1、投标人</w:t>
      </w:r>
      <w:r>
        <w:rPr>
          <w:rFonts w:ascii="仿宋_GB2312" w:hAnsi="ˎ̥" w:eastAsia="仿宋_GB2312" w:cs="宋体"/>
          <w:color w:val="000000"/>
          <w:kern w:val="0"/>
          <w:sz w:val="32"/>
          <w:szCs w:val="32"/>
        </w:rPr>
        <w:t>在</w:t>
      </w:r>
      <w:r>
        <w:rPr>
          <w:rFonts w:hint="eastAsia" w:ascii="仿宋_GB2312" w:hAnsi="ˎ̥" w:eastAsia="仿宋_GB2312" w:cs="宋体"/>
          <w:color w:val="000000"/>
          <w:kern w:val="0"/>
          <w:sz w:val="32"/>
          <w:szCs w:val="32"/>
        </w:rPr>
        <w:t>辽宁省</w:t>
      </w:r>
      <w:r>
        <w:rPr>
          <w:rFonts w:ascii="仿宋_GB2312" w:hAnsi="ˎ̥" w:eastAsia="仿宋_GB2312" w:cs="宋体"/>
          <w:color w:val="000000"/>
          <w:kern w:val="0"/>
          <w:sz w:val="32"/>
          <w:szCs w:val="32"/>
        </w:rPr>
        <w:t>建设信息网</w:t>
      </w:r>
      <w:r>
        <w:rPr>
          <w:rFonts w:hint="eastAsia" w:ascii="仿宋_GB2312" w:hAnsi="ˎ̥" w:eastAsia="仿宋_GB2312" w:cs="宋体"/>
          <w:color w:val="000000"/>
          <w:kern w:val="0"/>
          <w:sz w:val="32"/>
          <w:szCs w:val="32"/>
        </w:rPr>
        <w:t>上</w:t>
      </w:r>
      <w:r>
        <w:rPr>
          <w:rFonts w:ascii="仿宋_GB2312" w:hAnsi="ˎ̥" w:eastAsia="仿宋_GB2312" w:cs="宋体"/>
          <w:color w:val="000000"/>
          <w:kern w:val="0"/>
          <w:sz w:val="32"/>
          <w:szCs w:val="32"/>
        </w:rPr>
        <w:t>登录投标人信息库管理系统，自行录入各项内容，同时上传各类证书、证明原件的扫描件；</w:t>
      </w:r>
    </w:p>
    <w:p w14:paraId="39572405">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、在</w:t>
      </w:r>
      <w:r>
        <w:rPr>
          <w:rFonts w:hint="eastAsia" w:ascii="仿宋_GB2312" w:hAnsi="ˎ̥" w:eastAsia="仿宋_GB2312" w:cs="宋体"/>
          <w:color w:val="000000"/>
          <w:kern w:val="0"/>
          <w:sz w:val="32"/>
          <w:szCs w:val="32"/>
        </w:rPr>
        <w:t>辽宁省</w:t>
      </w:r>
      <w:r>
        <w:rPr>
          <w:rFonts w:ascii="仿宋_GB2312" w:hAnsi="ˎ̥" w:eastAsia="仿宋_GB2312" w:cs="宋体"/>
          <w:color w:val="000000"/>
          <w:kern w:val="0"/>
          <w:sz w:val="32"/>
          <w:szCs w:val="32"/>
        </w:rPr>
        <w:t>建设信息网上提交入库申请；</w:t>
      </w:r>
    </w:p>
    <w:p w14:paraId="0D91F052">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、经办人携带本人身份证、《法人授权委托书》和《诚信廉政承诺书》、所有证书原件及复印件，到</w:t>
      </w: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申请入库</w:t>
      </w:r>
      <w:r>
        <w:rPr>
          <w:rFonts w:hint="eastAsia" w:ascii="仿宋_GB2312" w:hAnsi="ˎ̥" w:eastAsia="仿宋_GB2312" w:cs="宋体"/>
          <w:color w:val="000000"/>
          <w:kern w:val="0"/>
          <w:sz w:val="32"/>
          <w:szCs w:val="32"/>
        </w:rPr>
        <w:t>；</w:t>
      </w:r>
    </w:p>
    <w:p w14:paraId="42B1B05C">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4、招标部</w:t>
      </w:r>
      <w:r>
        <w:rPr>
          <w:rFonts w:ascii="仿宋_GB2312" w:hAnsi="ˎ̥" w:eastAsia="仿宋_GB2312" w:cs="宋体"/>
          <w:color w:val="000000"/>
          <w:kern w:val="0"/>
          <w:sz w:val="32"/>
          <w:szCs w:val="32"/>
        </w:rPr>
        <w:t>对投标人的证书、证明等投标信息的入库扫描件和原件</w:t>
      </w:r>
      <w:r>
        <w:rPr>
          <w:rFonts w:hint="eastAsia" w:ascii="仿宋_GB2312" w:hAnsi="ˎ̥" w:eastAsia="仿宋_GB2312" w:cs="宋体"/>
          <w:color w:val="000000"/>
          <w:kern w:val="0"/>
          <w:sz w:val="32"/>
          <w:szCs w:val="32"/>
        </w:rPr>
        <w:t>进行审核，确认</w:t>
      </w:r>
      <w:r>
        <w:rPr>
          <w:rFonts w:ascii="仿宋_GB2312" w:hAnsi="ˎ̥" w:eastAsia="仿宋_GB2312" w:cs="宋体"/>
          <w:color w:val="000000"/>
          <w:kern w:val="0"/>
          <w:sz w:val="32"/>
          <w:szCs w:val="32"/>
        </w:rPr>
        <w:t>是否一致</w:t>
      </w:r>
      <w:r>
        <w:rPr>
          <w:rFonts w:hint="eastAsia" w:ascii="仿宋_GB2312" w:hAnsi="ˎ̥" w:eastAsia="仿宋_GB2312" w:cs="宋体"/>
          <w:color w:val="000000"/>
          <w:kern w:val="0"/>
          <w:sz w:val="32"/>
          <w:szCs w:val="32"/>
        </w:rPr>
        <w:t>，并</w:t>
      </w:r>
      <w:r>
        <w:rPr>
          <w:rFonts w:ascii="仿宋_GB2312" w:hAnsi="ˎ̥" w:eastAsia="仿宋_GB2312" w:cs="宋体"/>
          <w:color w:val="000000"/>
          <w:kern w:val="0"/>
          <w:sz w:val="32"/>
          <w:szCs w:val="32"/>
        </w:rPr>
        <w:t>将投标人入库的有关信息对社会进行公示</w:t>
      </w:r>
      <w:r>
        <w:rPr>
          <w:rFonts w:hint="eastAsia" w:ascii="仿宋_GB2312" w:hAnsi="ˎ̥" w:eastAsia="仿宋_GB2312" w:cs="宋体"/>
          <w:color w:val="000000"/>
          <w:kern w:val="0"/>
          <w:sz w:val="32"/>
          <w:szCs w:val="32"/>
        </w:rPr>
        <w:t>。</w:t>
      </w:r>
    </w:p>
    <w:p w14:paraId="2507BD37">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14:paraId="0EFC8B2B">
      <w:pPr>
        <w:widowControl/>
        <w:spacing w:line="540" w:lineRule="exact"/>
        <w:ind w:firstLine="640" w:firstLineChars="200"/>
        <w:rPr>
          <w:rFonts w:hint="eastAsia" w:ascii="仿宋_GB2312" w:hAnsi="ˎ̥" w:eastAsia="仿宋_GB2312" w:cs="宋体"/>
          <w:color w:val="000000"/>
          <w:kern w:val="0"/>
          <w:sz w:val="32"/>
          <w:szCs w:val="32"/>
        </w:rPr>
      </w:pPr>
      <w:r>
        <w:rPr>
          <w:rFonts w:ascii="仿宋_GB2312" w:hAnsi="ˎ̥" w:eastAsia="仿宋_GB2312" w:cs="宋体"/>
          <w:color w:val="000000"/>
          <w:kern w:val="0"/>
          <w:sz w:val="32"/>
          <w:szCs w:val="32"/>
        </w:rPr>
        <w:t>投标人入库信息须保证真实有效，不得编造虚假信息，一旦发现弄虚作假</w:t>
      </w: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将按有关法律法规和《诚信廉政承诺书》中的约定予以处理。</w:t>
      </w:r>
    </w:p>
    <w:p w14:paraId="74C4BB99">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14:paraId="3FCA874D">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日常工作事项</w:t>
      </w:r>
    </w:p>
    <w:p w14:paraId="455C31E9">
      <w:pPr>
        <w:pStyle w:val="2"/>
        <w:bidi w:val="0"/>
        <w:jc w:val="center"/>
        <w:rPr>
          <w:rFonts w:hint="eastAsia"/>
          <w:lang w:val="en-US" w:eastAsia="zh-CN"/>
        </w:rPr>
      </w:pPr>
      <w:bookmarkStart w:id="14" w:name="_Toc6454"/>
      <w:r>
        <w:rPr>
          <w:rFonts w:hint="eastAsia"/>
          <w:lang w:val="en-US" w:eastAsia="zh-CN"/>
        </w:rPr>
        <w:t>对建设工程施工招标投标活动举报投诉处理工作制度</w:t>
      </w:r>
      <w:bookmarkEnd w:id="14"/>
    </w:p>
    <w:p w14:paraId="77410018">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一、投诉受理</w:t>
      </w:r>
    </w:p>
    <w:p w14:paraId="74AFA115">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1、三级审核：项目负责人初审，协办人员复审，单位集体谈论后终审，作出受理或不受理的决定。</w:t>
      </w:r>
    </w:p>
    <w:p w14:paraId="32FD90DB">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2、审核内容：</w:t>
      </w:r>
    </w:p>
    <w:p w14:paraId="78FF7E4F">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(1)投诉人是否是所投诉招标投标活动的参与者，或者与投诉项目有无任何利害关系; </w:t>
      </w:r>
    </w:p>
    <w:p w14:paraId="51599288">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(2)投诉事项是否具体，且是否提供有效线索，难以查证的; </w:t>
      </w:r>
    </w:p>
    <w:p w14:paraId="29195F15">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(3)投诉书是否署具投诉人真实姓名、签字和有效联系方式的;以法人名义投诉的，投诉书是否经法定代表人签字并加盖公章的; </w:t>
      </w:r>
    </w:p>
    <w:p w14:paraId="55AA1A85">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(4)是否超过投诉时效的; </w:t>
      </w:r>
    </w:p>
    <w:p w14:paraId="1243AE63">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(5)是否已经作出处理决定，并且投诉人是否提出新的证据; </w:t>
      </w:r>
    </w:p>
    <w:p w14:paraId="5B96D15B">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(6)投诉事项是否是应先提出异议没有提出异议、已进入行政复议或行政诉讼程序的。 </w:t>
      </w:r>
    </w:p>
    <w:p w14:paraId="16ECF8FC">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二、调查取证</w:t>
      </w:r>
    </w:p>
    <w:p w14:paraId="5538C5BF">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需两名工作人员进行。</w:t>
      </w:r>
    </w:p>
    <w:p w14:paraId="3B82E6BB">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三、处理决定</w:t>
      </w:r>
    </w:p>
    <w:p w14:paraId="2CF6D101">
      <w:p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三级审核。行政处理决定由单位投诉处理小组集体讨论，经局法制部门审核，主管领导签字作出。</w:t>
      </w:r>
    </w:p>
    <w:p w14:paraId="20E25F80">
      <w:pPr>
        <w:ind w:firstLine="640"/>
        <w:rPr>
          <w:rFonts w:hint="default" w:ascii="仿宋" w:hAnsi="仿宋" w:eastAsia="仿宋" w:cs="仿宋"/>
          <w:sz w:val="32"/>
          <w:szCs w:val="32"/>
          <w:lang w:val="en-US" w:eastAsia="zh-CN"/>
        </w:rPr>
      </w:pPr>
    </w:p>
    <w:p w14:paraId="3CF279B4">
      <w:p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14:paraId="1D9E6736">
      <w:pPr>
        <w:pStyle w:val="2"/>
        <w:bidi w:val="0"/>
        <w:jc w:val="center"/>
        <w:rPr>
          <w:rFonts w:hint="eastAsia"/>
          <w:lang w:val="en-US" w:eastAsia="zh-CN"/>
        </w:rPr>
      </w:pPr>
      <w:bookmarkStart w:id="15" w:name="_Toc12509"/>
      <w:r>
        <w:rPr>
          <w:rFonts w:hint="eastAsia"/>
          <w:lang w:val="en-US" w:eastAsia="zh-CN"/>
        </w:rPr>
        <w:t>建设工程招投标活动检查工作制度</w:t>
      </w:r>
      <w:bookmarkEnd w:id="15"/>
    </w:p>
    <w:p w14:paraId="2E10204B">
      <w:pPr>
        <w:jc w:val="center"/>
        <w:rPr>
          <w:rFonts w:hint="eastAsia"/>
          <w:sz w:val="44"/>
          <w:szCs w:val="44"/>
          <w:lang w:val="en-US" w:eastAsia="zh-CN"/>
        </w:rPr>
      </w:pPr>
    </w:p>
    <w:p w14:paraId="7E692C40">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1、业务科室根据建设工程招投标检查任务的要求，在项目库中随机抽选项目作为行政检查对象，其他任务来源还包括上级交办、投诉举报等。</w:t>
      </w:r>
    </w:p>
    <w:p w14:paraId="79A3E15E">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2、业务科室根据检查需要在建设工程招投标监督管理系统行政执法人员库中抽选人员组成临时行政检查组，临时行政检查组人员不少于2人。</w:t>
      </w:r>
    </w:p>
    <w:p w14:paraId="407B435B">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3、临时检查组填写行政检查装备申领单，申领装备包含影像记录设备及行政执法文书等。</w:t>
      </w:r>
    </w:p>
    <w:p w14:paraId="75E9D996">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4、临时行政检查组开展行政检查前向部领导提交《行政执法检查报告单》，经分管副部长、部长签字批准后方可开展行政检查。</w:t>
      </w:r>
    </w:p>
    <w:p w14:paraId="468F263C">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5、未发现问题或发现的问题能够立即整改的，临时行政检查组应做好检查记录,检查中发现的问题双方书面确认签字；发现问题不能立即整改的，应结合整改难度责令责任单位限期整改（整改期限一般为1-7日），存在问题涉嫌违法的应移交市行政执法局依法进行行政处罚。</w:t>
      </w:r>
    </w:p>
    <w:p w14:paraId="20AB0C5F">
      <w:pPr>
        <w:widowControl w:val="0"/>
        <w:numPr>
          <w:ilvl w:val="0"/>
          <w:numId w:val="0"/>
        </w:numPr>
        <w:ind w:firstLine="640"/>
        <w:jc w:val="left"/>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6、临时检查组在接到责任单位提交的整改回复或整改期限届满后10日内，对项目整改情况进行复查，复查合格的应做好复查记录，复查不合格的应要求责任单位继续整改，存在问题涉嫌违法的应移交市行政执法局依法进行行政处罚。</w:t>
      </w:r>
    </w:p>
    <w:p w14:paraId="32B136CA">
      <w:pPr>
        <w:widowControl w:val="0"/>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7、临时检查组在检查（复查）结束后1日内，将行政检查卷（包含行政执法全程影像记录）存档。</w:t>
      </w:r>
    </w:p>
    <w:p w14:paraId="42B5532D">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8、业务科室电话回访被检查项目责任单位，询问行政检查过程是否存在违规违法行为，并填写回访记录存入行政检查卷。</w:t>
      </w:r>
    </w:p>
    <w:p w14:paraId="3E2700F6">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 w:hAnsi="仿宋" w:eastAsia="仿宋" w:cs="仿宋"/>
          <w:b w:val="0"/>
          <w:bCs w:val="0"/>
          <w:sz w:val="32"/>
          <w:szCs w:val="32"/>
          <w:lang w:val="en-US" w:eastAsia="zh-CN"/>
        </w:rPr>
        <w:t>9、业务科室将行政检查卷编号并归档，同时建立电子档案目录。</w:t>
      </w:r>
    </w:p>
    <w:sectPr>
      <w:footerReference r:id="rId5" w:type="default"/>
      <w:pgSz w:w="11906" w:h="16838"/>
      <w:pgMar w:top="1361" w:right="1531" w:bottom="1361" w:left="1531" w:header="851" w:footer="992" w:gutter="0"/>
      <w:pgNumType w:start="1"/>
      <w:cols w:space="425" w:num="1"/>
      <w:docGrid w:type="lines" w:linePitch="28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ˎ̥">
    <w:altName w:val="Times New Roman"/>
    <w:panose1 w:val="00000000000000000000"/>
    <w:charset w:val="00"/>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240831">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14:paraId="2C97EC25">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18999130"/>
      <w:docPartObj>
        <w:docPartGallery w:val="autotext"/>
      </w:docPartObj>
    </w:sdtPr>
    <w:sdtContent>
      <w:p w14:paraId="19F76439">
        <w:pPr>
          <w:pStyle w:val="4"/>
          <w:jc w:val="center"/>
        </w:pPr>
        <w:r>
          <w:fldChar w:fldCharType="begin"/>
        </w:r>
        <w:r>
          <w:instrText xml:space="preserve">PAGE   \* MERGEFORMAT</w:instrText>
        </w:r>
        <w:r>
          <w:fldChar w:fldCharType="separate"/>
        </w:r>
        <w:r>
          <w:rPr>
            <w:lang w:val="zh-CN"/>
          </w:rPr>
          <w:t>25</w:t>
        </w:r>
        <w:r>
          <w:fldChar w:fldCharType="end"/>
        </w:r>
      </w:p>
    </w:sdtContent>
  </w:sdt>
  <w:p w14:paraId="3E1BF311">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45F051">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4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kYmY1OGE2YWY5N2ZiNzEyN2QxZjY0YzE0ZjYyNTMifQ=="/>
  </w:docVars>
  <w:rsids>
    <w:rsidRoot w:val="00CB085D"/>
    <w:rsid w:val="000131EE"/>
    <w:rsid w:val="00024390"/>
    <w:rsid w:val="000343B1"/>
    <w:rsid w:val="0003752A"/>
    <w:rsid w:val="0005456C"/>
    <w:rsid w:val="00056410"/>
    <w:rsid w:val="00062F2B"/>
    <w:rsid w:val="00077AC0"/>
    <w:rsid w:val="00086544"/>
    <w:rsid w:val="00094714"/>
    <w:rsid w:val="00094FFB"/>
    <w:rsid w:val="000969F2"/>
    <w:rsid w:val="00097B18"/>
    <w:rsid w:val="000A2637"/>
    <w:rsid w:val="000B2FA2"/>
    <w:rsid w:val="000C12A1"/>
    <w:rsid w:val="000C15DA"/>
    <w:rsid w:val="000C4520"/>
    <w:rsid w:val="000D280F"/>
    <w:rsid w:val="000E0B11"/>
    <w:rsid w:val="000E1B66"/>
    <w:rsid w:val="000F306E"/>
    <w:rsid w:val="00104119"/>
    <w:rsid w:val="00112BD7"/>
    <w:rsid w:val="001207F8"/>
    <w:rsid w:val="0013065B"/>
    <w:rsid w:val="00132105"/>
    <w:rsid w:val="00133978"/>
    <w:rsid w:val="00163A45"/>
    <w:rsid w:val="001707E0"/>
    <w:rsid w:val="00172282"/>
    <w:rsid w:val="001735BF"/>
    <w:rsid w:val="00184B3C"/>
    <w:rsid w:val="0018531D"/>
    <w:rsid w:val="0018563C"/>
    <w:rsid w:val="001A07F0"/>
    <w:rsid w:val="001A15F8"/>
    <w:rsid w:val="001A1C31"/>
    <w:rsid w:val="001A6932"/>
    <w:rsid w:val="001B6BCD"/>
    <w:rsid w:val="001B6D80"/>
    <w:rsid w:val="001C18C8"/>
    <w:rsid w:val="001C402A"/>
    <w:rsid w:val="001D7713"/>
    <w:rsid w:val="001D78FF"/>
    <w:rsid w:val="001E38F6"/>
    <w:rsid w:val="001F234E"/>
    <w:rsid w:val="00211951"/>
    <w:rsid w:val="00225390"/>
    <w:rsid w:val="00240140"/>
    <w:rsid w:val="0025569B"/>
    <w:rsid w:val="00261BC1"/>
    <w:rsid w:val="002671C3"/>
    <w:rsid w:val="00271EA0"/>
    <w:rsid w:val="00283B3F"/>
    <w:rsid w:val="00292184"/>
    <w:rsid w:val="00293854"/>
    <w:rsid w:val="002A5A41"/>
    <w:rsid w:val="002B5ECA"/>
    <w:rsid w:val="002D3494"/>
    <w:rsid w:val="002F6F95"/>
    <w:rsid w:val="002F74D5"/>
    <w:rsid w:val="003000CC"/>
    <w:rsid w:val="00302103"/>
    <w:rsid w:val="003245B4"/>
    <w:rsid w:val="00324782"/>
    <w:rsid w:val="00343DCB"/>
    <w:rsid w:val="00356CDF"/>
    <w:rsid w:val="0036230A"/>
    <w:rsid w:val="00370E8E"/>
    <w:rsid w:val="00390947"/>
    <w:rsid w:val="00391B8B"/>
    <w:rsid w:val="00391CF9"/>
    <w:rsid w:val="00392F10"/>
    <w:rsid w:val="00394E2A"/>
    <w:rsid w:val="003951BC"/>
    <w:rsid w:val="003A7DF3"/>
    <w:rsid w:val="003D1D05"/>
    <w:rsid w:val="003D3223"/>
    <w:rsid w:val="003D44D4"/>
    <w:rsid w:val="003D51AB"/>
    <w:rsid w:val="003E7AD7"/>
    <w:rsid w:val="004114CC"/>
    <w:rsid w:val="00412417"/>
    <w:rsid w:val="00416C23"/>
    <w:rsid w:val="0042241E"/>
    <w:rsid w:val="00436B6B"/>
    <w:rsid w:val="0045462E"/>
    <w:rsid w:val="004562B3"/>
    <w:rsid w:val="00467063"/>
    <w:rsid w:val="00470B0F"/>
    <w:rsid w:val="00474E4A"/>
    <w:rsid w:val="00480AEE"/>
    <w:rsid w:val="004A1FFE"/>
    <w:rsid w:val="004B77D5"/>
    <w:rsid w:val="004C1743"/>
    <w:rsid w:val="004D0FB2"/>
    <w:rsid w:val="004E0478"/>
    <w:rsid w:val="004E2173"/>
    <w:rsid w:val="00523F36"/>
    <w:rsid w:val="00526A42"/>
    <w:rsid w:val="0054155E"/>
    <w:rsid w:val="00545468"/>
    <w:rsid w:val="0057772A"/>
    <w:rsid w:val="00584C6B"/>
    <w:rsid w:val="00586C83"/>
    <w:rsid w:val="005C0B4D"/>
    <w:rsid w:val="005C25EF"/>
    <w:rsid w:val="005C6EFB"/>
    <w:rsid w:val="005D5A8D"/>
    <w:rsid w:val="005D6D78"/>
    <w:rsid w:val="005E4484"/>
    <w:rsid w:val="005E6AD4"/>
    <w:rsid w:val="005F5F93"/>
    <w:rsid w:val="006006A2"/>
    <w:rsid w:val="00620FB9"/>
    <w:rsid w:val="006253B9"/>
    <w:rsid w:val="00626AF0"/>
    <w:rsid w:val="0063629C"/>
    <w:rsid w:val="00642FF5"/>
    <w:rsid w:val="006526B7"/>
    <w:rsid w:val="006643E1"/>
    <w:rsid w:val="00671BB3"/>
    <w:rsid w:val="0067470F"/>
    <w:rsid w:val="006766E4"/>
    <w:rsid w:val="00682FE0"/>
    <w:rsid w:val="006C13F5"/>
    <w:rsid w:val="006C2CA5"/>
    <w:rsid w:val="006C5737"/>
    <w:rsid w:val="006C5DCA"/>
    <w:rsid w:val="006E1D4F"/>
    <w:rsid w:val="006E65F9"/>
    <w:rsid w:val="006F3633"/>
    <w:rsid w:val="006F4E41"/>
    <w:rsid w:val="006F5A2F"/>
    <w:rsid w:val="006F6C7F"/>
    <w:rsid w:val="00711419"/>
    <w:rsid w:val="007171D1"/>
    <w:rsid w:val="0073328F"/>
    <w:rsid w:val="00743A04"/>
    <w:rsid w:val="0074709A"/>
    <w:rsid w:val="00752525"/>
    <w:rsid w:val="00754A24"/>
    <w:rsid w:val="00770C3E"/>
    <w:rsid w:val="00775DF5"/>
    <w:rsid w:val="00782511"/>
    <w:rsid w:val="007A46F5"/>
    <w:rsid w:val="007A572D"/>
    <w:rsid w:val="007A6413"/>
    <w:rsid w:val="007B0026"/>
    <w:rsid w:val="007B47A3"/>
    <w:rsid w:val="007C564C"/>
    <w:rsid w:val="007D2778"/>
    <w:rsid w:val="007D2FEB"/>
    <w:rsid w:val="007D6B86"/>
    <w:rsid w:val="007D7190"/>
    <w:rsid w:val="007E0139"/>
    <w:rsid w:val="007E1CE0"/>
    <w:rsid w:val="007E1EF1"/>
    <w:rsid w:val="007E5F5C"/>
    <w:rsid w:val="007E6FDC"/>
    <w:rsid w:val="007F5533"/>
    <w:rsid w:val="007F6365"/>
    <w:rsid w:val="00801834"/>
    <w:rsid w:val="00802B4E"/>
    <w:rsid w:val="00813B6C"/>
    <w:rsid w:val="008218FA"/>
    <w:rsid w:val="00825A3A"/>
    <w:rsid w:val="00826958"/>
    <w:rsid w:val="00826EC8"/>
    <w:rsid w:val="00847D98"/>
    <w:rsid w:val="00862321"/>
    <w:rsid w:val="00872257"/>
    <w:rsid w:val="00887632"/>
    <w:rsid w:val="0089527F"/>
    <w:rsid w:val="008A791B"/>
    <w:rsid w:val="008B4248"/>
    <w:rsid w:val="008D0086"/>
    <w:rsid w:val="008E0BE3"/>
    <w:rsid w:val="008E5EE8"/>
    <w:rsid w:val="008F5168"/>
    <w:rsid w:val="00901648"/>
    <w:rsid w:val="00911681"/>
    <w:rsid w:val="009214FF"/>
    <w:rsid w:val="00921809"/>
    <w:rsid w:val="00933AD8"/>
    <w:rsid w:val="009440C8"/>
    <w:rsid w:val="00951C1F"/>
    <w:rsid w:val="0095701A"/>
    <w:rsid w:val="00957A53"/>
    <w:rsid w:val="009755D5"/>
    <w:rsid w:val="009910AD"/>
    <w:rsid w:val="00992FA7"/>
    <w:rsid w:val="009D7E25"/>
    <w:rsid w:val="009E0500"/>
    <w:rsid w:val="009E3C0F"/>
    <w:rsid w:val="009E7887"/>
    <w:rsid w:val="009F0077"/>
    <w:rsid w:val="00A0127C"/>
    <w:rsid w:val="00A0219D"/>
    <w:rsid w:val="00A11C56"/>
    <w:rsid w:val="00A218E8"/>
    <w:rsid w:val="00A21FF9"/>
    <w:rsid w:val="00A23910"/>
    <w:rsid w:val="00A24FA3"/>
    <w:rsid w:val="00A5175C"/>
    <w:rsid w:val="00A8739E"/>
    <w:rsid w:val="00A94091"/>
    <w:rsid w:val="00AC68F9"/>
    <w:rsid w:val="00AD00DC"/>
    <w:rsid w:val="00AE303A"/>
    <w:rsid w:val="00AF0615"/>
    <w:rsid w:val="00AF3BDF"/>
    <w:rsid w:val="00AF3D80"/>
    <w:rsid w:val="00AF3E32"/>
    <w:rsid w:val="00B10AF4"/>
    <w:rsid w:val="00B11A7A"/>
    <w:rsid w:val="00B15B39"/>
    <w:rsid w:val="00B26ADF"/>
    <w:rsid w:val="00B3283A"/>
    <w:rsid w:val="00B465C7"/>
    <w:rsid w:val="00B545B0"/>
    <w:rsid w:val="00B54C9B"/>
    <w:rsid w:val="00B700AC"/>
    <w:rsid w:val="00B845E7"/>
    <w:rsid w:val="00B92F87"/>
    <w:rsid w:val="00BC219B"/>
    <w:rsid w:val="00BD0615"/>
    <w:rsid w:val="00BD48D4"/>
    <w:rsid w:val="00BD7F51"/>
    <w:rsid w:val="00C10F7D"/>
    <w:rsid w:val="00C212AB"/>
    <w:rsid w:val="00C21FDA"/>
    <w:rsid w:val="00C22D16"/>
    <w:rsid w:val="00C232AE"/>
    <w:rsid w:val="00C2407C"/>
    <w:rsid w:val="00C32420"/>
    <w:rsid w:val="00C43BEF"/>
    <w:rsid w:val="00C53DC4"/>
    <w:rsid w:val="00C63650"/>
    <w:rsid w:val="00C77FFC"/>
    <w:rsid w:val="00C83F80"/>
    <w:rsid w:val="00C96D08"/>
    <w:rsid w:val="00CA21D3"/>
    <w:rsid w:val="00CA365D"/>
    <w:rsid w:val="00CB085D"/>
    <w:rsid w:val="00CB696E"/>
    <w:rsid w:val="00CB7532"/>
    <w:rsid w:val="00CD77AE"/>
    <w:rsid w:val="00CE24C2"/>
    <w:rsid w:val="00CE499F"/>
    <w:rsid w:val="00CE5F8E"/>
    <w:rsid w:val="00CE7A55"/>
    <w:rsid w:val="00D00B2B"/>
    <w:rsid w:val="00D138F8"/>
    <w:rsid w:val="00D139A3"/>
    <w:rsid w:val="00D174CF"/>
    <w:rsid w:val="00D21F30"/>
    <w:rsid w:val="00D45DBB"/>
    <w:rsid w:val="00D5317E"/>
    <w:rsid w:val="00D7526B"/>
    <w:rsid w:val="00D80EF3"/>
    <w:rsid w:val="00D83020"/>
    <w:rsid w:val="00D839C2"/>
    <w:rsid w:val="00D86FB1"/>
    <w:rsid w:val="00D87EAC"/>
    <w:rsid w:val="00D96402"/>
    <w:rsid w:val="00D97BF5"/>
    <w:rsid w:val="00DA1FEC"/>
    <w:rsid w:val="00DB62C8"/>
    <w:rsid w:val="00DC2A87"/>
    <w:rsid w:val="00DD002A"/>
    <w:rsid w:val="00DD47B0"/>
    <w:rsid w:val="00DE0BF0"/>
    <w:rsid w:val="00DF110A"/>
    <w:rsid w:val="00DF25DC"/>
    <w:rsid w:val="00E10BAF"/>
    <w:rsid w:val="00E46399"/>
    <w:rsid w:val="00E466B6"/>
    <w:rsid w:val="00E50F67"/>
    <w:rsid w:val="00E538CC"/>
    <w:rsid w:val="00E57FC4"/>
    <w:rsid w:val="00E6180D"/>
    <w:rsid w:val="00E63EB6"/>
    <w:rsid w:val="00E64151"/>
    <w:rsid w:val="00E817A6"/>
    <w:rsid w:val="00E93D46"/>
    <w:rsid w:val="00EA1E87"/>
    <w:rsid w:val="00EA5DEC"/>
    <w:rsid w:val="00EA66EB"/>
    <w:rsid w:val="00EB1C56"/>
    <w:rsid w:val="00EE076B"/>
    <w:rsid w:val="00EE2AC5"/>
    <w:rsid w:val="00EF22AC"/>
    <w:rsid w:val="00F02747"/>
    <w:rsid w:val="00F04961"/>
    <w:rsid w:val="00F1184A"/>
    <w:rsid w:val="00F230ED"/>
    <w:rsid w:val="00F258E6"/>
    <w:rsid w:val="00F30597"/>
    <w:rsid w:val="00F36A4C"/>
    <w:rsid w:val="00F439FC"/>
    <w:rsid w:val="00F50894"/>
    <w:rsid w:val="00F50FD0"/>
    <w:rsid w:val="00F70184"/>
    <w:rsid w:val="00F759FC"/>
    <w:rsid w:val="00F909A1"/>
    <w:rsid w:val="00FB2014"/>
    <w:rsid w:val="00FC1A3E"/>
    <w:rsid w:val="00FD30C6"/>
    <w:rsid w:val="00FE47A3"/>
    <w:rsid w:val="00FE606B"/>
    <w:rsid w:val="00FE7A5D"/>
    <w:rsid w:val="00FE7C18"/>
    <w:rsid w:val="00FF3E7F"/>
    <w:rsid w:val="37A075E1"/>
    <w:rsid w:val="4C1371EC"/>
    <w:rsid w:val="529A133B"/>
    <w:rsid w:val="597912A7"/>
    <w:rsid w:val="5C3E7FA7"/>
    <w:rsid w:val="5E904673"/>
    <w:rsid w:val="6EFF66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semiHidden/>
    <w:qFormat/>
    <w:uiPriority w:val="0"/>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style>
  <w:style w:type="character" w:styleId="9">
    <w:name w:val="Strong"/>
    <w:qFormat/>
    <w:uiPriority w:val="0"/>
    <w:rPr>
      <w:b/>
      <w:bCs/>
    </w:rPr>
  </w:style>
  <w:style w:type="character" w:styleId="10">
    <w:name w:val="page number"/>
    <w:basedOn w:val="8"/>
    <w:qFormat/>
    <w:uiPriority w:val="0"/>
  </w:style>
  <w:style w:type="character" w:styleId="11">
    <w:name w:val="Hyperlink"/>
    <w:basedOn w:val="8"/>
    <w:unhideWhenUsed/>
    <w:qFormat/>
    <w:uiPriority w:val="99"/>
    <w:rPr>
      <w:color w:val="0563C1" w:themeColor="hyperlink"/>
      <w:u w:val="single"/>
      <w14:textFill>
        <w14:solidFill>
          <w14:schemeClr w14:val="hlink"/>
        </w14:solidFill>
      </w14:textFill>
    </w:rPr>
  </w:style>
  <w:style w:type="character" w:customStyle="1" w:styleId="12">
    <w:name w:val="页脚 Char"/>
    <w:basedOn w:val="8"/>
    <w:link w:val="4"/>
    <w:qFormat/>
    <w:uiPriority w:val="99"/>
    <w:rPr>
      <w:kern w:val="2"/>
      <w:sz w:val="18"/>
      <w:szCs w:val="18"/>
    </w:rPr>
  </w:style>
  <w:style w:type="character" w:customStyle="1" w:styleId="13">
    <w:name w:val="标题 1 Char"/>
    <w:basedOn w:val="8"/>
    <w:link w:val="2"/>
    <w:uiPriority w:val="0"/>
    <w:rPr>
      <w:b/>
      <w:bCs/>
      <w:kern w:val="44"/>
      <w:sz w:val="44"/>
      <w:szCs w:val="44"/>
    </w:rPr>
  </w:style>
  <w:style w:type="paragraph" w:customStyle="1" w:styleId="14">
    <w:name w:val="TOC Heading"/>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67F65-B30A-49F6-BC85-492939C13B7B}">
  <ds:schemaRefs/>
</ds:datastoreItem>
</file>

<file path=docProps/app.xml><?xml version="1.0" encoding="utf-8"?>
<Properties xmlns="http://schemas.openxmlformats.org/officeDocument/2006/extended-properties" xmlns:vt="http://schemas.openxmlformats.org/officeDocument/2006/docPropsVTypes">
  <Template>Normal.dotm</Template>
  <Company>JYZX</Company>
  <Pages>30</Pages>
  <Words>9427</Words>
  <Characters>9480</Characters>
  <Lines>68</Lines>
  <Paragraphs>19</Paragraphs>
  <TotalTime>0</TotalTime>
  <ScaleCrop>false</ScaleCrop>
  <LinksUpToDate>false</LinksUpToDate>
  <CharactersWithSpaces>9594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2020-09-14T01:38:00Z</dcterms:created>
  <dc:creator>CK</dc:creator>
  <cp:lastModifiedBy>WPS_1677126106</cp:lastModifiedBy>
  <cp:lastPrinted>2010-07-05T06:19:00Z</cp:lastPrinted>
  <dcterms:modified xsi:type="dcterms:W3CDTF">2024-12-18T10:56:29Z</dcterms:modified>
  <dc:title>市场部办事指南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03C3C807B10D46BAB124DD53E02F5F67_12</vt:lpwstr>
  </property>
</Properties>
</file>