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02B03" w14:textId="77777777" w:rsidR="00466CB1" w:rsidRDefault="00466CB1">
      <w:pPr>
        <w:adjustRightInd w:val="0"/>
        <w:snapToGrid w:val="0"/>
        <w:spacing w:line="560" w:lineRule="exact"/>
        <w:jc w:val="center"/>
        <w:rPr>
          <w:rFonts w:ascii="Times New Roman" w:hAnsi="Times New Roman" w:cs="Times New Roman"/>
          <w:b/>
          <w:sz w:val="44"/>
          <w:szCs w:val="44"/>
        </w:rPr>
      </w:pPr>
    </w:p>
    <w:p w14:paraId="4E0F0734" w14:textId="77777777" w:rsidR="00466CB1" w:rsidRDefault="00A70A2C">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31942C22" w14:textId="77777777" w:rsidR="00466CB1" w:rsidRDefault="00466CB1">
      <w:pPr>
        <w:adjustRightInd w:val="0"/>
        <w:snapToGrid w:val="0"/>
        <w:spacing w:line="440" w:lineRule="exact"/>
        <w:jc w:val="center"/>
        <w:rPr>
          <w:rFonts w:ascii="Times New Roman" w:eastAsia="楷体" w:hAnsi="Times New Roman" w:cs="Times New Roman"/>
          <w:sz w:val="32"/>
          <w:szCs w:val="32"/>
        </w:rPr>
      </w:pPr>
    </w:p>
    <w:p w14:paraId="1C6DF0D1" w14:textId="03D1FDDB" w:rsidR="00466CB1" w:rsidRDefault="00695856">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695856">
        <w:rPr>
          <w:rFonts w:ascii="Times New Roman" w:eastAsia="楷体" w:hAnsi="Times New Roman" w:cs="Times New Roman" w:hint="eastAsia"/>
          <w:sz w:val="32"/>
          <w:szCs w:val="32"/>
        </w:rPr>
        <w:t>对施工单位在工程竣工验收后，不向建设单位出具质量保修书、保修的内容、期限违反规定的处罚</w:t>
      </w:r>
    </w:p>
    <w:p w14:paraId="40BC3AF2" w14:textId="77777777" w:rsidR="00466CB1" w:rsidRDefault="00466CB1">
      <w:pPr>
        <w:adjustRightInd w:val="0"/>
        <w:snapToGrid w:val="0"/>
        <w:spacing w:line="440" w:lineRule="exact"/>
        <w:ind w:firstLineChars="200" w:firstLine="640"/>
        <w:rPr>
          <w:rFonts w:ascii="Times New Roman" w:eastAsia="黑体" w:hAnsi="Times New Roman" w:cs="Times New Roman"/>
          <w:sz w:val="32"/>
          <w:szCs w:val="32"/>
        </w:rPr>
      </w:pPr>
    </w:p>
    <w:p w14:paraId="102E3886" w14:textId="77777777" w:rsidR="00466CB1" w:rsidRDefault="00A70A2C">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583B21A7"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6F86ED9D"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26569A18"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63626083" w14:textId="77777777" w:rsidR="00466CB1" w:rsidRDefault="00A70A2C">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501D5A9B"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1129BE0F"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096CFF73"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35908285"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w:t>
      </w:r>
      <w:r>
        <w:rPr>
          <w:rFonts w:ascii="Times New Roman" w:eastAsia="仿宋" w:hAnsi="Times New Roman" w:cs="Times New Roman"/>
          <w:sz w:val="32"/>
          <w:szCs w:val="32"/>
        </w:rPr>
        <w:lastRenderedPageBreak/>
        <w:t>人员负责案卷归档。</w:t>
      </w:r>
    </w:p>
    <w:p w14:paraId="03EBF473" w14:textId="77777777" w:rsidR="00466CB1" w:rsidRDefault="00A70A2C">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三、实施步骤</w:t>
      </w:r>
    </w:p>
    <w:p w14:paraId="0E0D81E0"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373C144A" w14:textId="77777777" w:rsidR="00466CB1" w:rsidRDefault="00A70A2C">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16E33147" w14:textId="77777777" w:rsidR="00466CB1" w:rsidRDefault="00A70A2C">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24E634D4" w14:textId="77777777" w:rsidR="00466CB1" w:rsidRDefault="00A70A2C">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2E858029" w14:textId="77777777" w:rsidR="00466CB1" w:rsidRDefault="00A70A2C">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529261E3"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54C215C2"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34C99A94"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353BF735"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5887851E"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620ABA12"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50912D23"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w:t>
      </w:r>
      <w:r>
        <w:rPr>
          <w:rFonts w:ascii="Times New Roman" w:eastAsia="仿宋" w:hAnsi="Times New Roman" w:cs="Times New Roman"/>
          <w:sz w:val="32"/>
          <w:szCs w:val="32"/>
        </w:rPr>
        <w:lastRenderedPageBreak/>
        <w:t>到场出示执法证件，依据行政执法全过程记录制度调查取证，采集录音录像证据材料，制作《调查询问笔录》。</w:t>
      </w:r>
    </w:p>
    <w:p w14:paraId="6C7D876E" w14:textId="77777777" w:rsidR="00466CB1" w:rsidRDefault="00A70A2C">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26C1807F"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686B5396"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78729E52"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6030A127"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44A34EA0"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480C3AD3"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18397D4F"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7088EC34" w14:textId="77777777" w:rsidR="00466CB1" w:rsidRDefault="00A70A2C">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lastRenderedPageBreak/>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4FDA830C"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（五）执行处罚</w:t>
      </w:r>
    </w:p>
    <w:p w14:paraId="0CE23C74"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5E35E07E"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53F21E02"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0A762392"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713F60A4"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276B7428" w14:textId="77777777" w:rsidR="00466CB1" w:rsidRDefault="00A70A2C">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6053F0AE"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0F452E5D"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6C104F85"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48C781D3" w14:textId="77777777" w:rsidR="00466CB1" w:rsidRDefault="00A70A2C">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28CC53B2" w14:textId="77777777" w:rsidR="00466CB1" w:rsidRDefault="00466CB1">
      <w:pPr>
        <w:adjustRightInd w:val="0"/>
        <w:snapToGrid w:val="0"/>
        <w:spacing w:line="560" w:lineRule="exact"/>
        <w:ind w:firstLineChars="200" w:firstLine="640"/>
        <w:rPr>
          <w:rFonts w:ascii="Times New Roman" w:eastAsia="仿宋" w:hAnsi="Times New Roman" w:cs="Times New Roman"/>
          <w:sz w:val="32"/>
          <w:szCs w:val="32"/>
        </w:rPr>
      </w:pPr>
    </w:p>
    <w:p w14:paraId="41B3978D" w14:textId="77777777" w:rsidR="00466CB1" w:rsidRDefault="00A70A2C">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21C9C56E" w14:textId="77777777" w:rsidR="00466CB1" w:rsidRDefault="00A70A2C">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lastRenderedPageBreak/>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466CB1">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2BA3B" w14:textId="77777777" w:rsidR="00A70A2C" w:rsidRDefault="00A70A2C" w:rsidP="00695856">
      <w:r>
        <w:separator/>
      </w:r>
    </w:p>
  </w:endnote>
  <w:endnote w:type="continuationSeparator" w:id="0">
    <w:p w14:paraId="5E59880A" w14:textId="77777777" w:rsidR="00A70A2C" w:rsidRDefault="00A70A2C" w:rsidP="00695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6B6FD" w14:textId="77777777" w:rsidR="00A70A2C" w:rsidRDefault="00A70A2C" w:rsidP="00695856">
      <w:r>
        <w:separator/>
      </w:r>
    </w:p>
  </w:footnote>
  <w:footnote w:type="continuationSeparator" w:id="0">
    <w:p w14:paraId="1022B0AD" w14:textId="77777777" w:rsidR="00A70A2C" w:rsidRDefault="00A70A2C" w:rsidP="006958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55D8F"/>
    <w:rsid w:val="00466CB1"/>
    <w:rsid w:val="004712EA"/>
    <w:rsid w:val="004C18A0"/>
    <w:rsid w:val="005D651C"/>
    <w:rsid w:val="005E24F9"/>
    <w:rsid w:val="00623BC7"/>
    <w:rsid w:val="00640F4E"/>
    <w:rsid w:val="00655256"/>
    <w:rsid w:val="00695856"/>
    <w:rsid w:val="006D752F"/>
    <w:rsid w:val="00704BC9"/>
    <w:rsid w:val="007259C0"/>
    <w:rsid w:val="00762181"/>
    <w:rsid w:val="0076760E"/>
    <w:rsid w:val="00780D24"/>
    <w:rsid w:val="007F3212"/>
    <w:rsid w:val="00881298"/>
    <w:rsid w:val="00892005"/>
    <w:rsid w:val="00910B06"/>
    <w:rsid w:val="009208E8"/>
    <w:rsid w:val="0095604A"/>
    <w:rsid w:val="009A5556"/>
    <w:rsid w:val="009E49FC"/>
    <w:rsid w:val="00A046D4"/>
    <w:rsid w:val="00A30963"/>
    <w:rsid w:val="00A70A2C"/>
    <w:rsid w:val="00AD5EA5"/>
    <w:rsid w:val="00B1194F"/>
    <w:rsid w:val="00BF7E25"/>
    <w:rsid w:val="00C9014C"/>
    <w:rsid w:val="00CB6A12"/>
    <w:rsid w:val="00D01B37"/>
    <w:rsid w:val="00D83A17"/>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92ED1"/>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695856"/>
    <w:rPr>
      <w:sz w:val="18"/>
      <w:szCs w:val="18"/>
    </w:rPr>
  </w:style>
  <w:style w:type="character" w:customStyle="1" w:styleId="a9">
    <w:name w:val="批注框文本 字符"/>
    <w:basedOn w:val="a0"/>
    <w:link w:val="a8"/>
    <w:uiPriority w:val="99"/>
    <w:semiHidden/>
    <w:rsid w:val="0069585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266</Words>
  <Characters>1521</Characters>
  <Application>Microsoft Office Word</Application>
  <DocSecurity>0</DocSecurity>
  <Lines>12</Lines>
  <Paragraphs>3</Paragraphs>
  <ScaleCrop>false</ScaleCrop>
  <Company>Win7w.Com</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2020-09-16T08:41:00Z</dcterms:created>
  <dcterms:modified xsi:type="dcterms:W3CDTF">2020-09-16T08:41:00Z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